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41"/>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49"/>
        <w:gridCol w:w="2549"/>
        <w:gridCol w:w="2548"/>
        <w:gridCol w:w="2549"/>
        <w:gridCol w:w="2865"/>
        <w:gridCol w:w="2231"/>
      </w:tblGrid>
      <w:tr w:rsidR="00CB55A3" w:rsidRPr="00CB55A3" w14:paraId="5A68E048" w14:textId="77777777" w:rsidTr="00982553">
        <w:trPr>
          <w:trHeight w:val="486"/>
        </w:trPr>
        <w:tc>
          <w:tcPr>
            <w:tcW w:w="2549" w:type="dxa"/>
            <w:shd w:val="clear" w:color="auto" w:fill="4472C4"/>
            <w:tcMar>
              <w:top w:w="72" w:type="dxa"/>
              <w:left w:w="144" w:type="dxa"/>
              <w:bottom w:w="72" w:type="dxa"/>
              <w:right w:w="144" w:type="dxa"/>
            </w:tcMar>
            <w:hideMark/>
          </w:tcPr>
          <w:p w14:paraId="476B6DFD" w14:textId="77777777" w:rsidR="00CB55A3" w:rsidRPr="00CB55A3" w:rsidRDefault="00CB55A3" w:rsidP="00CB55A3">
            <w:pPr>
              <w:jc w:val="center"/>
              <w:rPr>
                <w:b/>
                <w:bCs/>
                <w:color w:val="FFFFFF" w:themeColor="background1"/>
                <w:sz w:val="44"/>
                <w:szCs w:val="44"/>
              </w:rPr>
            </w:pPr>
            <w:r w:rsidRPr="00CB55A3">
              <w:rPr>
                <w:b/>
                <w:bCs/>
                <w:color w:val="FFFFFF" w:themeColor="background1"/>
                <w:sz w:val="44"/>
                <w:szCs w:val="44"/>
                <w:lang w:val="en-US"/>
              </w:rPr>
              <w:t>Term 1</w:t>
            </w:r>
          </w:p>
        </w:tc>
        <w:tc>
          <w:tcPr>
            <w:tcW w:w="2549" w:type="dxa"/>
            <w:shd w:val="clear" w:color="auto" w:fill="4472C4"/>
            <w:tcMar>
              <w:top w:w="72" w:type="dxa"/>
              <w:left w:w="144" w:type="dxa"/>
              <w:bottom w:w="72" w:type="dxa"/>
              <w:right w:w="144" w:type="dxa"/>
            </w:tcMar>
            <w:hideMark/>
          </w:tcPr>
          <w:p w14:paraId="7F675614" w14:textId="77777777" w:rsidR="00CB55A3" w:rsidRPr="00CB55A3" w:rsidRDefault="00CB55A3" w:rsidP="00CB55A3">
            <w:pPr>
              <w:jc w:val="center"/>
              <w:rPr>
                <w:b/>
                <w:bCs/>
                <w:color w:val="FFFFFF" w:themeColor="background1"/>
                <w:sz w:val="44"/>
                <w:szCs w:val="44"/>
              </w:rPr>
            </w:pPr>
            <w:r w:rsidRPr="00CB55A3">
              <w:rPr>
                <w:b/>
                <w:bCs/>
                <w:color w:val="FFFFFF" w:themeColor="background1"/>
                <w:sz w:val="44"/>
                <w:szCs w:val="44"/>
                <w:lang w:val="en-US"/>
              </w:rPr>
              <w:t>Term 2</w:t>
            </w:r>
          </w:p>
        </w:tc>
        <w:tc>
          <w:tcPr>
            <w:tcW w:w="2548" w:type="dxa"/>
            <w:shd w:val="clear" w:color="auto" w:fill="4472C4"/>
            <w:tcMar>
              <w:top w:w="72" w:type="dxa"/>
              <w:left w:w="144" w:type="dxa"/>
              <w:bottom w:w="72" w:type="dxa"/>
              <w:right w:w="144" w:type="dxa"/>
            </w:tcMar>
            <w:hideMark/>
          </w:tcPr>
          <w:p w14:paraId="3A5E2EEF" w14:textId="77777777" w:rsidR="00CB55A3" w:rsidRPr="00CB55A3" w:rsidRDefault="00CB55A3" w:rsidP="00CB55A3">
            <w:pPr>
              <w:jc w:val="center"/>
              <w:rPr>
                <w:b/>
                <w:bCs/>
                <w:color w:val="FFFFFF" w:themeColor="background1"/>
                <w:sz w:val="44"/>
                <w:szCs w:val="44"/>
              </w:rPr>
            </w:pPr>
            <w:r w:rsidRPr="00CB55A3">
              <w:rPr>
                <w:b/>
                <w:bCs/>
                <w:color w:val="FFFFFF" w:themeColor="background1"/>
                <w:sz w:val="44"/>
                <w:szCs w:val="44"/>
                <w:lang w:val="en-US"/>
              </w:rPr>
              <w:t>Term 3</w:t>
            </w:r>
          </w:p>
        </w:tc>
        <w:tc>
          <w:tcPr>
            <w:tcW w:w="2549" w:type="dxa"/>
            <w:shd w:val="clear" w:color="auto" w:fill="4472C4"/>
            <w:tcMar>
              <w:top w:w="72" w:type="dxa"/>
              <w:left w:w="144" w:type="dxa"/>
              <w:bottom w:w="72" w:type="dxa"/>
              <w:right w:w="144" w:type="dxa"/>
            </w:tcMar>
            <w:hideMark/>
          </w:tcPr>
          <w:p w14:paraId="4A3B4F6E" w14:textId="77777777" w:rsidR="00CB55A3" w:rsidRPr="00CB55A3" w:rsidRDefault="00CB55A3" w:rsidP="00CB55A3">
            <w:pPr>
              <w:jc w:val="center"/>
              <w:rPr>
                <w:b/>
                <w:bCs/>
                <w:color w:val="FFFFFF" w:themeColor="background1"/>
                <w:sz w:val="44"/>
                <w:szCs w:val="44"/>
              </w:rPr>
            </w:pPr>
            <w:r w:rsidRPr="00CB55A3">
              <w:rPr>
                <w:b/>
                <w:bCs/>
                <w:color w:val="FFFFFF" w:themeColor="background1"/>
                <w:sz w:val="44"/>
                <w:szCs w:val="44"/>
                <w:lang w:val="en-US"/>
              </w:rPr>
              <w:t>Term 4</w:t>
            </w:r>
          </w:p>
        </w:tc>
        <w:tc>
          <w:tcPr>
            <w:tcW w:w="2865" w:type="dxa"/>
            <w:shd w:val="clear" w:color="auto" w:fill="4472C4"/>
            <w:tcMar>
              <w:top w:w="72" w:type="dxa"/>
              <w:left w:w="144" w:type="dxa"/>
              <w:bottom w:w="72" w:type="dxa"/>
              <w:right w:w="144" w:type="dxa"/>
            </w:tcMar>
            <w:hideMark/>
          </w:tcPr>
          <w:p w14:paraId="6063092C" w14:textId="77777777" w:rsidR="00CB55A3" w:rsidRPr="00CB55A3" w:rsidRDefault="00CB55A3" w:rsidP="00CB55A3">
            <w:pPr>
              <w:jc w:val="center"/>
              <w:rPr>
                <w:b/>
                <w:bCs/>
                <w:color w:val="FFFFFF" w:themeColor="background1"/>
                <w:sz w:val="44"/>
                <w:szCs w:val="44"/>
              </w:rPr>
            </w:pPr>
            <w:r w:rsidRPr="00CB55A3">
              <w:rPr>
                <w:b/>
                <w:bCs/>
                <w:color w:val="FFFFFF" w:themeColor="background1"/>
                <w:sz w:val="44"/>
                <w:szCs w:val="44"/>
                <w:lang w:val="en-US"/>
              </w:rPr>
              <w:t>Term 5</w:t>
            </w:r>
          </w:p>
        </w:tc>
        <w:tc>
          <w:tcPr>
            <w:tcW w:w="2231" w:type="dxa"/>
            <w:shd w:val="clear" w:color="auto" w:fill="4472C4"/>
            <w:tcMar>
              <w:top w:w="72" w:type="dxa"/>
              <w:left w:w="144" w:type="dxa"/>
              <w:bottom w:w="72" w:type="dxa"/>
              <w:right w:w="144" w:type="dxa"/>
            </w:tcMar>
            <w:hideMark/>
          </w:tcPr>
          <w:p w14:paraId="5263D17F" w14:textId="77777777" w:rsidR="00CB55A3" w:rsidRPr="00CB55A3" w:rsidRDefault="00CB55A3" w:rsidP="00CB55A3">
            <w:pPr>
              <w:jc w:val="center"/>
              <w:rPr>
                <w:b/>
                <w:bCs/>
                <w:color w:val="FFFFFF" w:themeColor="background1"/>
                <w:sz w:val="44"/>
                <w:szCs w:val="44"/>
              </w:rPr>
            </w:pPr>
            <w:r w:rsidRPr="00CB55A3">
              <w:rPr>
                <w:b/>
                <w:bCs/>
                <w:color w:val="FFFFFF" w:themeColor="background1"/>
                <w:sz w:val="44"/>
                <w:szCs w:val="44"/>
                <w:lang w:val="en-US"/>
              </w:rPr>
              <w:t>Term 6</w:t>
            </w:r>
          </w:p>
        </w:tc>
      </w:tr>
      <w:tr w:rsidR="00CB55A3" w:rsidRPr="00CB55A3" w14:paraId="1CFE5396" w14:textId="77777777" w:rsidTr="00982553">
        <w:trPr>
          <w:trHeight w:val="1325"/>
        </w:trPr>
        <w:tc>
          <w:tcPr>
            <w:tcW w:w="2549" w:type="dxa"/>
            <w:shd w:val="clear" w:color="auto" w:fill="CFD5EA"/>
            <w:tcMar>
              <w:top w:w="72" w:type="dxa"/>
              <w:left w:w="144" w:type="dxa"/>
              <w:bottom w:w="72" w:type="dxa"/>
              <w:right w:w="144" w:type="dxa"/>
            </w:tcMar>
            <w:hideMark/>
          </w:tcPr>
          <w:p w14:paraId="0471209F" w14:textId="77777777" w:rsidR="00CB55A3" w:rsidRPr="00CB55A3" w:rsidRDefault="00CB55A3" w:rsidP="00CB55A3">
            <w:pPr>
              <w:rPr>
                <w:b/>
                <w:bCs/>
                <w:sz w:val="28"/>
                <w:szCs w:val="28"/>
              </w:rPr>
            </w:pPr>
            <w:r w:rsidRPr="00CB55A3">
              <w:rPr>
                <w:b/>
                <w:bCs/>
                <w:sz w:val="28"/>
                <w:szCs w:val="28"/>
                <w:lang w:val="en-US"/>
              </w:rPr>
              <w:t>Health and wellbeing – healthy minds</w:t>
            </w:r>
          </w:p>
        </w:tc>
        <w:tc>
          <w:tcPr>
            <w:tcW w:w="2549" w:type="dxa"/>
            <w:shd w:val="clear" w:color="auto" w:fill="CFD5EA"/>
            <w:tcMar>
              <w:top w:w="72" w:type="dxa"/>
              <w:left w:w="144" w:type="dxa"/>
              <w:bottom w:w="72" w:type="dxa"/>
              <w:right w:w="144" w:type="dxa"/>
            </w:tcMar>
            <w:hideMark/>
          </w:tcPr>
          <w:p w14:paraId="02FD2DE9" w14:textId="77777777" w:rsidR="00CB55A3" w:rsidRPr="00CB55A3" w:rsidRDefault="00CB55A3" w:rsidP="00CB55A3">
            <w:pPr>
              <w:rPr>
                <w:b/>
                <w:bCs/>
                <w:sz w:val="28"/>
                <w:szCs w:val="28"/>
              </w:rPr>
            </w:pPr>
            <w:r w:rsidRPr="00CB55A3">
              <w:rPr>
                <w:b/>
                <w:bCs/>
                <w:sz w:val="28"/>
                <w:szCs w:val="28"/>
                <w:lang w:val="en-US"/>
              </w:rPr>
              <w:t>Healthy relationships – bullying</w:t>
            </w:r>
          </w:p>
        </w:tc>
        <w:tc>
          <w:tcPr>
            <w:tcW w:w="2548" w:type="dxa"/>
            <w:shd w:val="clear" w:color="auto" w:fill="CFD5EA"/>
            <w:tcMar>
              <w:top w:w="72" w:type="dxa"/>
              <w:left w:w="144" w:type="dxa"/>
              <w:bottom w:w="72" w:type="dxa"/>
              <w:right w:w="144" w:type="dxa"/>
            </w:tcMar>
            <w:hideMark/>
          </w:tcPr>
          <w:p w14:paraId="45D6F552" w14:textId="77777777" w:rsidR="00CB55A3" w:rsidRPr="00CB55A3" w:rsidRDefault="00CB55A3" w:rsidP="00CB55A3">
            <w:pPr>
              <w:rPr>
                <w:b/>
                <w:bCs/>
                <w:sz w:val="28"/>
                <w:szCs w:val="28"/>
              </w:rPr>
            </w:pPr>
            <w:r w:rsidRPr="00CB55A3">
              <w:rPr>
                <w:b/>
                <w:bCs/>
                <w:sz w:val="28"/>
                <w:szCs w:val="28"/>
                <w:lang w:val="en-US"/>
              </w:rPr>
              <w:t>Living in the wider world - community</w:t>
            </w:r>
          </w:p>
        </w:tc>
        <w:tc>
          <w:tcPr>
            <w:tcW w:w="2549" w:type="dxa"/>
            <w:shd w:val="clear" w:color="auto" w:fill="CFD5EA"/>
            <w:tcMar>
              <w:top w:w="72" w:type="dxa"/>
              <w:left w:w="144" w:type="dxa"/>
              <w:bottom w:w="72" w:type="dxa"/>
              <w:right w:w="144" w:type="dxa"/>
            </w:tcMar>
            <w:hideMark/>
          </w:tcPr>
          <w:p w14:paraId="628E350A" w14:textId="77777777" w:rsidR="00CB55A3" w:rsidRPr="00CB55A3" w:rsidRDefault="00CB55A3" w:rsidP="00CB55A3">
            <w:pPr>
              <w:rPr>
                <w:b/>
                <w:bCs/>
                <w:sz w:val="28"/>
                <w:szCs w:val="28"/>
              </w:rPr>
            </w:pPr>
            <w:r w:rsidRPr="00CB55A3">
              <w:rPr>
                <w:b/>
                <w:bCs/>
                <w:sz w:val="28"/>
                <w:szCs w:val="28"/>
                <w:lang w:val="en-US"/>
              </w:rPr>
              <w:t>Health and wellbeing - puberty</w:t>
            </w:r>
          </w:p>
        </w:tc>
        <w:tc>
          <w:tcPr>
            <w:tcW w:w="2865" w:type="dxa"/>
            <w:shd w:val="clear" w:color="auto" w:fill="CFD5EA"/>
            <w:tcMar>
              <w:top w:w="72" w:type="dxa"/>
              <w:left w:w="144" w:type="dxa"/>
              <w:bottom w:w="72" w:type="dxa"/>
              <w:right w:w="144" w:type="dxa"/>
            </w:tcMar>
            <w:hideMark/>
          </w:tcPr>
          <w:p w14:paraId="0495A0D8" w14:textId="77777777" w:rsidR="00CB55A3" w:rsidRPr="00CB55A3" w:rsidRDefault="00CB55A3" w:rsidP="00CB55A3">
            <w:pPr>
              <w:rPr>
                <w:b/>
                <w:bCs/>
                <w:sz w:val="28"/>
                <w:szCs w:val="28"/>
              </w:rPr>
            </w:pPr>
            <w:r w:rsidRPr="00CB55A3">
              <w:rPr>
                <w:b/>
                <w:bCs/>
                <w:sz w:val="28"/>
                <w:szCs w:val="28"/>
                <w:lang w:val="en-US"/>
              </w:rPr>
              <w:t xml:space="preserve">Health and wellbeing – healthy living </w:t>
            </w:r>
          </w:p>
        </w:tc>
        <w:tc>
          <w:tcPr>
            <w:tcW w:w="2231" w:type="dxa"/>
            <w:shd w:val="clear" w:color="auto" w:fill="CFD5EA"/>
            <w:tcMar>
              <w:top w:w="72" w:type="dxa"/>
              <w:left w:w="144" w:type="dxa"/>
              <w:bottom w:w="72" w:type="dxa"/>
              <w:right w:w="144" w:type="dxa"/>
            </w:tcMar>
            <w:hideMark/>
          </w:tcPr>
          <w:p w14:paraId="7B483AA2" w14:textId="77777777" w:rsidR="00CB55A3" w:rsidRPr="00CB55A3" w:rsidRDefault="00CB55A3" w:rsidP="00CB55A3">
            <w:pPr>
              <w:rPr>
                <w:b/>
                <w:bCs/>
                <w:sz w:val="28"/>
                <w:szCs w:val="28"/>
              </w:rPr>
            </w:pPr>
            <w:r w:rsidRPr="00CB55A3">
              <w:rPr>
                <w:b/>
                <w:bCs/>
                <w:sz w:val="28"/>
                <w:szCs w:val="28"/>
                <w:lang w:val="en-US"/>
              </w:rPr>
              <w:t>Living in the wider world - careers</w:t>
            </w:r>
          </w:p>
        </w:tc>
      </w:tr>
      <w:tr w:rsidR="00CB55A3" w:rsidRPr="00CB55A3" w14:paraId="0BF9FEA1" w14:textId="77777777" w:rsidTr="00982553">
        <w:trPr>
          <w:trHeight w:val="1325"/>
        </w:trPr>
        <w:tc>
          <w:tcPr>
            <w:tcW w:w="2549" w:type="dxa"/>
            <w:shd w:val="clear" w:color="auto" w:fill="auto"/>
            <w:tcMar>
              <w:top w:w="72" w:type="dxa"/>
              <w:left w:w="144" w:type="dxa"/>
              <w:bottom w:w="72" w:type="dxa"/>
              <w:right w:w="144" w:type="dxa"/>
            </w:tcMar>
            <w:hideMark/>
          </w:tcPr>
          <w:p w14:paraId="63D96959" w14:textId="77777777" w:rsidR="00CB55A3" w:rsidRPr="00CB55A3" w:rsidRDefault="00CB55A3" w:rsidP="00CB55A3">
            <w:r w:rsidRPr="00CB55A3">
              <w:rPr>
                <w:lang w:val="en-US"/>
              </w:rPr>
              <w:t xml:space="preserve">We start with this unit as it gives students a chance to learn about the types of new friendships they should be making. It also helps them work on the skills they require as they join secondary school, especially responsibility and </w:t>
            </w:r>
            <w:proofErr w:type="spellStart"/>
            <w:r w:rsidRPr="00CB55A3">
              <w:rPr>
                <w:lang w:val="en-US"/>
              </w:rPr>
              <w:t>organisation</w:t>
            </w:r>
            <w:proofErr w:type="spellEnd"/>
            <w:r w:rsidRPr="00CB55A3">
              <w:rPr>
                <w:lang w:val="en-US"/>
              </w:rPr>
              <w:t>.  </w:t>
            </w:r>
          </w:p>
        </w:tc>
        <w:tc>
          <w:tcPr>
            <w:tcW w:w="2549" w:type="dxa"/>
            <w:shd w:val="clear" w:color="auto" w:fill="auto"/>
            <w:tcMar>
              <w:top w:w="72" w:type="dxa"/>
              <w:left w:w="144" w:type="dxa"/>
              <w:bottom w:w="72" w:type="dxa"/>
              <w:right w:w="144" w:type="dxa"/>
            </w:tcMar>
            <w:hideMark/>
          </w:tcPr>
          <w:p w14:paraId="26AB5C97" w14:textId="77777777" w:rsidR="00CB55A3" w:rsidRPr="00CB55A3" w:rsidRDefault="00CB55A3" w:rsidP="00CB55A3">
            <w:r w:rsidRPr="00CB55A3">
              <w:rPr>
                <w:lang w:val="en-US"/>
              </w:rPr>
              <w:t>We dive deeper into healthy relationships. As students maybe start to grow apart from the friends they had in primary school and gain new friends, we aim to equip them with the skills and knowledge needed to maintain healthy friendships (with an emphasis on appropriate use of social media and online interactions).  </w:t>
            </w:r>
          </w:p>
        </w:tc>
        <w:tc>
          <w:tcPr>
            <w:tcW w:w="2548" w:type="dxa"/>
            <w:shd w:val="clear" w:color="auto" w:fill="auto"/>
            <w:tcMar>
              <w:top w:w="72" w:type="dxa"/>
              <w:left w:w="144" w:type="dxa"/>
              <w:bottom w:w="72" w:type="dxa"/>
              <w:right w:w="144" w:type="dxa"/>
            </w:tcMar>
            <w:hideMark/>
          </w:tcPr>
          <w:p w14:paraId="170BDDDB" w14:textId="77777777" w:rsidR="00CB55A3" w:rsidRPr="00CB55A3" w:rsidRDefault="00CB55A3" w:rsidP="00CB55A3">
            <w:r w:rsidRPr="00CB55A3">
              <w:rPr>
                <w:lang w:val="en-US"/>
              </w:rPr>
              <w:t>This unit is studied at this point in the year as we are hoping that students are now suitably settled into the Academy and are ready to learn more about the community they are part of. Community is understood as both the area that we live but also the school in which we all attend.  </w:t>
            </w:r>
          </w:p>
        </w:tc>
        <w:tc>
          <w:tcPr>
            <w:tcW w:w="2549" w:type="dxa"/>
            <w:shd w:val="clear" w:color="auto" w:fill="auto"/>
            <w:tcMar>
              <w:top w:w="72" w:type="dxa"/>
              <w:left w:w="144" w:type="dxa"/>
              <w:bottom w:w="72" w:type="dxa"/>
              <w:right w:w="144" w:type="dxa"/>
            </w:tcMar>
            <w:hideMark/>
          </w:tcPr>
          <w:p w14:paraId="3D4ADB99" w14:textId="77777777" w:rsidR="00CB55A3" w:rsidRPr="00CB55A3" w:rsidRDefault="00CB55A3" w:rsidP="00CB55A3">
            <w:r w:rsidRPr="00CB55A3">
              <w:t>This unit is studied at this point in the year as students are at a crucial point of their development. It is important that both girls and boys are aware of the physical and mental changes that take place during puberty. </w:t>
            </w:r>
          </w:p>
        </w:tc>
        <w:tc>
          <w:tcPr>
            <w:tcW w:w="2865" w:type="dxa"/>
            <w:shd w:val="clear" w:color="auto" w:fill="auto"/>
            <w:tcMar>
              <w:top w:w="72" w:type="dxa"/>
              <w:left w:w="144" w:type="dxa"/>
              <w:bottom w:w="72" w:type="dxa"/>
              <w:right w:w="144" w:type="dxa"/>
            </w:tcMar>
            <w:hideMark/>
          </w:tcPr>
          <w:p w14:paraId="7BD74988" w14:textId="77777777" w:rsidR="00CB55A3" w:rsidRPr="00CB55A3" w:rsidRDefault="00CB55A3" w:rsidP="00CB55A3">
            <w:r w:rsidRPr="00CB55A3">
              <w:rPr>
                <w:lang w:val="en-US"/>
              </w:rPr>
              <w:t xml:space="preserve">As students start to gain autonomy about what they eat, we educate them on what a healthy and balanced diet looks like. This links in with the importance of sleep and the impact of poor sleep can have on the mind and body. </w:t>
            </w:r>
          </w:p>
        </w:tc>
        <w:tc>
          <w:tcPr>
            <w:tcW w:w="2231" w:type="dxa"/>
            <w:shd w:val="clear" w:color="auto" w:fill="auto"/>
            <w:tcMar>
              <w:top w:w="72" w:type="dxa"/>
              <w:left w:w="144" w:type="dxa"/>
              <w:bottom w:w="72" w:type="dxa"/>
              <w:right w:w="144" w:type="dxa"/>
            </w:tcMar>
            <w:hideMark/>
          </w:tcPr>
          <w:p w14:paraId="0D2CD527" w14:textId="77777777" w:rsidR="00CB55A3" w:rsidRPr="00CB55A3" w:rsidRDefault="00CB55A3" w:rsidP="00CB55A3">
            <w:r w:rsidRPr="00CB55A3">
              <w:rPr>
                <w:lang w:val="en-US"/>
              </w:rPr>
              <w:t>We finish the year by focusing on the importance of education. We Showing students why qualifications are important to unlocking future success, and why the skills gained during secondary school are useful in future life</w:t>
            </w:r>
          </w:p>
        </w:tc>
      </w:tr>
    </w:tbl>
    <w:p w14:paraId="4CB33073" w14:textId="44A5E64B" w:rsidR="008121EC" w:rsidRDefault="00CB55A3" w:rsidP="00CB55A3">
      <w:pPr>
        <w:jc w:val="center"/>
        <w:rPr>
          <w:b/>
          <w:bCs/>
          <w:sz w:val="44"/>
          <w:szCs w:val="44"/>
          <w:u w:val="single"/>
        </w:rPr>
      </w:pPr>
      <w:r w:rsidRPr="00CB55A3">
        <w:rPr>
          <w:b/>
          <w:bCs/>
          <w:sz w:val="44"/>
          <w:szCs w:val="44"/>
          <w:u w:val="single"/>
        </w:rPr>
        <w:t>Weekly Wellbeing – Y7 Themes</w:t>
      </w:r>
    </w:p>
    <w:p w14:paraId="25D7FECF" w14:textId="77777777" w:rsidR="009A0130" w:rsidRDefault="009A0130" w:rsidP="00CB55A3">
      <w:pPr>
        <w:jc w:val="center"/>
        <w:rPr>
          <w:b/>
          <w:bCs/>
          <w:sz w:val="44"/>
          <w:szCs w:val="44"/>
          <w:u w:val="single"/>
        </w:rPr>
      </w:pPr>
    </w:p>
    <w:p w14:paraId="2C06C460" w14:textId="77777777" w:rsidR="009A0130" w:rsidRDefault="009A0130" w:rsidP="00CB55A3">
      <w:pPr>
        <w:jc w:val="center"/>
        <w:rPr>
          <w:b/>
          <w:bCs/>
          <w:sz w:val="44"/>
          <w:szCs w:val="44"/>
          <w:u w:val="single"/>
        </w:rPr>
      </w:pPr>
    </w:p>
    <w:p w14:paraId="4949C18D" w14:textId="77777777" w:rsidR="009A0130" w:rsidRDefault="009A0130" w:rsidP="00CB55A3">
      <w:pPr>
        <w:jc w:val="center"/>
        <w:rPr>
          <w:b/>
          <w:bCs/>
          <w:sz w:val="44"/>
          <w:szCs w:val="44"/>
          <w:u w:val="single"/>
        </w:rPr>
      </w:pPr>
    </w:p>
    <w:p w14:paraId="6153C3C0" w14:textId="46329475" w:rsidR="009A0130" w:rsidRPr="00CB55A3" w:rsidRDefault="009A0130" w:rsidP="009A0130">
      <w:pPr>
        <w:jc w:val="center"/>
        <w:rPr>
          <w:b/>
          <w:bCs/>
          <w:sz w:val="44"/>
          <w:szCs w:val="44"/>
          <w:u w:val="single"/>
        </w:rPr>
      </w:pPr>
      <w:r w:rsidRPr="00CB55A3">
        <w:rPr>
          <w:b/>
          <w:bCs/>
          <w:sz w:val="44"/>
          <w:szCs w:val="44"/>
          <w:u w:val="single"/>
        </w:rPr>
        <w:lastRenderedPageBreak/>
        <w:t>Weekly Wellbeing – Y</w:t>
      </w:r>
      <w:r>
        <w:rPr>
          <w:b/>
          <w:bCs/>
          <w:sz w:val="44"/>
          <w:szCs w:val="44"/>
          <w:u w:val="single"/>
        </w:rPr>
        <w:t>8</w:t>
      </w:r>
      <w:r w:rsidRPr="00CB55A3">
        <w:rPr>
          <w:b/>
          <w:bCs/>
          <w:sz w:val="44"/>
          <w:szCs w:val="44"/>
          <w:u w:val="single"/>
        </w:rPr>
        <w:t xml:space="preserve"> Themes</w:t>
      </w:r>
    </w:p>
    <w:tbl>
      <w:tblPr>
        <w:tblStyle w:val="GridTable4-Accent2"/>
        <w:tblpPr w:leftFromText="180" w:rightFromText="180" w:vertAnchor="page" w:horzAnchor="margin" w:tblpY="1441"/>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3"/>
        <w:gridCol w:w="2552"/>
        <w:gridCol w:w="2977"/>
        <w:gridCol w:w="2409"/>
        <w:gridCol w:w="2552"/>
        <w:gridCol w:w="2636"/>
      </w:tblGrid>
      <w:tr w:rsidR="001F4FBE" w:rsidRPr="00CB55A3" w14:paraId="0781666F" w14:textId="77777777" w:rsidTr="00FE2D6E">
        <w:trPr>
          <w:cnfStyle w:val="100000000000" w:firstRow="1" w:lastRow="0" w:firstColumn="0" w:lastColumn="0" w:oddVBand="0" w:evenVBand="0" w:oddHBand="0" w:evenHBand="0" w:firstRowFirstColumn="0" w:firstRowLastColumn="0" w:lastRowFirstColumn="0" w:lastRowLastColumn="0"/>
          <w:trHeight w:val="699"/>
        </w:trPr>
        <w:tc>
          <w:tcPr>
            <w:tcW w:w="2263" w:type="dxa"/>
            <w:tcBorders>
              <w:top w:val="none" w:sz="0" w:space="0" w:color="auto"/>
              <w:left w:val="none" w:sz="0" w:space="0" w:color="auto"/>
              <w:bottom w:val="none" w:sz="0" w:space="0" w:color="auto"/>
              <w:right w:val="none" w:sz="0" w:space="0" w:color="auto"/>
            </w:tcBorders>
            <w:hideMark/>
          </w:tcPr>
          <w:p w14:paraId="40048A52" w14:textId="77777777" w:rsidR="009A0130" w:rsidRPr="00CB55A3" w:rsidRDefault="009A0130" w:rsidP="00722827">
            <w:pPr>
              <w:jc w:val="center"/>
              <w:rPr>
                <w:sz w:val="44"/>
                <w:szCs w:val="44"/>
              </w:rPr>
            </w:pPr>
            <w:r w:rsidRPr="00CB55A3">
              <w:rPr>
                <w:sz w:val="44"/>
                <w:szCs w:val="44"/>
                <w:lang w:val="en-US"/>
              </w:rPr>
              <w:t>Term 1</w:t>
            </w:r>
          </w:p>
        </w:tc>
        <w:tc>
          <w:tcPr>
            <w:tcW w:w="2552" w:type="dxa"/>
            <w:tcBorders>
              <w:top w:val="none" w:sz="0" w:space="0" w:color="auto"/>
              <w:left w:val="none" w:sz="0" w:space="0" w:color="auto"/>
              <w:bottom w:val="none" w:sz="0" w:space="0" w:color="auto"/>
              <w:right w:val="none" w:sz="0" w:space="0" w:color="auto"/>
            </w:tcBorders>
            <w:hideMark/>
          </w:tcPr>
          <w:p w14:paraId="093B53A5" w14:textId="77777777" w:rsidR="009A0130" w:rsidRPr="00CB55A3" w:rsidRDefault="009A0130" w:rsidP="00722827">
            <w:pPr>
              <w:spacing w:after="160" w:line="259" w:lineRule="auto"/>
              <w:jc w:val="center"/>
              <w:rPr>
                <w:sz w:val="44"/>
                <w:szCs w:val="44"/>
              </w:rPr>
            </w:pPr>
            <w:r w:rsidRPr="00CB55A3">
              <w:rPr>
                <w:sz w:val="44"/>
                <w:szCs w:val="44"/>
                <w:lang w:val="en-US"/>
              </w:rPr>
              <w:t>Term 2</w:t>
            </w:r>
          </w:p>
        </w:tc>
        <w:tc>
          <w:tcPr>
            <w:tcW w:w="2977" w:type="dxa"/>
            <w:tcBorders>
              <w:top w:val="none" w:sz="0" w:space="0" w:color="auto"/>
              <w:left w:val="none" w:sz="0" w:space="0" w:color="auto"/>
              <w:bottom w:val="none" w:sz="0" w:space="0" w:color="auto"/>
              <w:right w:val="none" w:sz="0" w:space="0" w:color="auto"/>
            </w:tcBorders>
            <w:hideMark/>
          </w:tcPr>
          <w:p w14:paraId="44048AFA" w14:textId="77777777" w:rsidR="009A0130" w:rsidRPr="00CB55A3" w:rsidRDefault="009A0130" w:rsidP="00722827">
            <w:pPr>
              <w:spacing w:after="160" w:line="259" w:lineRule="auto"/>
              <w:jc w:val="center"/>
              <w:rPr>
                <w:sz w:val="44"/>
                <w:szCs w:val="44"/>
              </w:rPr>
            </w:pPr>
            <w:r w:rsidRPr="00CB55A3">
              <w:rPr>
                <w:sz w:val="44"/>
                <w:szCs w:val="44"/>
                <w:lang w:val="en-US"/>
              </w:rPr>
              <w:t>Term 3</w:t>
            </w:r>
          </w:p>
        </w:tc>
        <w:tc>
          <w:tcPr>
            <w:tcW w:w="2409" w:type="dxa"/>
            <w:tcBorders>
              <w:top w:val="none" w:sz="0" w:space="0" w:color="auto"/>
              <w:left w:val="none" w:sz="0" w:space="0" w:color="auto"/>
              <w:bottom w:val="none" w:sz="0" w:space="0" w:color="auto"/>
              <w:right w:val="none" w:sz="0" w:space="0" w:color="auto"/>
            </w:tcBorders>
            <w:hideMark/>
          </w:tcPr>
          <w:p w14:paraId="7D546ED6" w14:textId="77777777" w:rsidR="009A0130" w:rsidRPr="00CB55A3" w:rsidRDefault="009A0130" w:rsidP="00722827">
            <w:pPr>
              <w:spacing w:after="160" w:line="259" w:lineRule="auto"/>
              <w:jc w:val="center"/>
              <w:rPr>
                <w:sz w:val="44"/>
                <w:szCs w:val="44"/>
              </w:rPr>
            </w:pPr>
            <w:r w:rsidRPr="00CB55A3">
              <w:rPr>
                <w:sz w:val="44"/>
                <w:szCs w:val="44"/>
                <w:lang w:val="en-US"/>
              </w:rPr>
              <w:t>Term 4</w:t>
            </w:r>
          </w:p>
        </w:tc>
        <w:tc>
          <w:tcPr>
            <w:tcW w:w="2552" w:type="dxa"/>
            <w:tcBorders>
              <w:top w:val="none" w:sz="0" w:space="0" w:color="auto"/>
              <w:left w:val="none" w:sz="0" w:space="0" w:color="auto"/>
              <w:bottom w:val="none" w:sz="0" w:space="0" w:color="auto"/>
              <w:right w:val="none" w:sz="0" w:space="0" w:color="auto"/>
            </w:tcBorders>
            <w:hideMark/>
          </w:tcPr>
          <w:p w14:paraId="2B2CF5AA" w14:textId="77777777" w:rsidR="009A0130" w:rsidRPr="00CB55A3" w:rsidRDefault="009A0130" w:rsidP="00722827">
            <w:pPr>
              <w:spacing w:after="160" w:line="259" w:lineRule="auto"/>
              <w:jc w:val="center"/>
              <w:rPr>
                <w:sz w:val="44"/>
                <w:szCs w:val="44"/>
              </w:rPr>
            </w:pPr>
            <w:r w:rsidRPr="00CB55A3">
              <w:rPr>
                <w:sz w:val="44"/>
                <w:szCs w:val="44"/>
                <w:lang w:val="en-US"/>
              </w:rPr>
              <w:t>Term 5</w:t>
            </w:r>
          </w:p>
        </w:tc>
        <w:tc>
          <w:tcPr>
            <w:tcW w:w="2636" w:type="dxa"/>
            <w:tcBorders>
              <w:top w:val="none" w:sz="0" w:space="0" w:color="auto"/>
              <w:left w:val="none" w:sz="0" w:space="0" w:color="auto"/>
              <w:bottom w:val="none" w:sz="0" w:space="0" w:color="auto"/>
              <w:right w:val="none" w:sz="0" w:space="0" w:color="auto"/>
            </w:tcBorders>
            <w:hideMark/>
          </w:tcPr>
          <w:p w14:paraId="76D94037" w14:textId="77777777" w:rsidR="009A0130" w:rsidRPr="00CB55A3" w:rsidRDefault="009A0130" w:rsidP="00722827">
            <w:pPr>
              <w:spacing w:after="160" w:line="259" w:lineRule="auto"/>
              <w:jc w:val="center"/>
              <w:rPr>
                <w:sz w:val="44"/>
                <w:szCs w:val="44"/>
              </w:rPr>
            </w:pPr>
            <w:r w:rsidRPr="00CB55A3">
              <w:rPr>
                <w:sz w:val="44"/>
                <w:szCs w:val="44"/>
                <w:lang w:val="en-US"/>
              </w:rPr>
              <w:t>Term 6</w:t>
            </w:r>
          </w:p>
        </w:tc>
      </w:tr>
      <w:tr w:rsidR="001F4FBE" w:rsidRPr="00CB55A3" w14:paraId="0FC347D3" w14:textId="77777777" w:rsidTr="00FE2D6E">
        <w:trPr>
          <w:cnfStyle w:val="000000100000" w:firstRow="0" w:lastRow="0" w:firstColumn="0" w:lastColumn="0" w:oddVBand="0" w:evenVBand="0" w:oddHBand="1" w:evenHBand="0" w:firstRowFirstColumn="0" w:firstRowLastColumn="0" w:lastRowFirstColumn="0" w:lastRowLastColumn="0"/>
          <w:trHeight w:val="1003"/>
        </w:trPr>
        <w:tc>
          <w:tcPr>
            <w:tcW w:w="2263" w:type="dxa"/>
          </w:tcPr>
          <w:p w14:paraId="0A436BE5" w14:textId="647F4354" w:rsidR="009A0130" w:rsidRPr="00CB55A3" w:rsidRDefault="007B042D" w:rsidP="00722827">
            <w:pPr>
              <w:spacing w:after="160" w:line="259" w:lineRule="auto"/>
              <w:rPr>
                <w:b/>
                <w:bCs/>
                <w:sz w:val="28"/>
                <w:szCs w:val="28"/>
              </w:rPr>
            </w:pPr>
            <w:r>
              <w:rPr>
                <w:b/>
                <w:bCs/>
                <w:sz w:val="28"/>
                <w:szCs w:val="28"/>
              </w:rPr>
              <w:t>Health and wellbeing – healthy minds</w:t>
            </w:r>
          </w:p>
        </w:tc>
        <w:tc>
          <w:tcPr>
            <w:tcW w:w="2552" w:type="dxa"/>
          </w:tcPr>
          <w:p w14:paraId="578EF32D" w14:textId="41C35D0F" w:rsidR="009A0130" w:rsidRPr="00CB55A3" w:rsidRDefault="007B042D" w:rsidP="00722827">
            <w:pPr>
              <w:spacing w:after="160" w:line="259" w:lineRule="auto"/>
              <w:rPr>
                <w:b/>
                <w:bCs/>
                <w:sz w:val="28"/>
                <w:szCs w:val="28"/>
              </w:rPr>
            </w:pPr>
            <w:r>
              <w:rPr>
                <w:b/>
                <w:bCs/>
                <w:sz w:val="28"/>
                <w:szCs w:val="28"/>
              </w:rPr>
              <w:t>Healthy relationships - discrimination</w:t>
            </w:r>
          </w:p>
        </w:tc>
        <w:tc>
          <w:tcPr>
            <w:tcW w:w="2977" w:type="dxa"/>
          </w:tcPr>
          <w:p w14:paraId="2213EE06" w14:textId="4C07AE74" w:rsidR="009A0130" w:rsidRPr="00CB55A3" w:rsidRDefault="008E3AB0" w:rsidP="00722827">
            <w:pPr>
              <w:spacing w:after="160" w:line="259" w:lineRule="auto"/>
              <w:rPr>
                <w:b/>
                <w:bCs/>
                <w:sz w:val="28"/>
                <w:szCs w:val="28"/>
              </w:rPr>
            </w:pPr>
            <w:r>
              <w:rPr>
                <w:b/>
                <w:bCs/>
                <w:sz w:val="28"/>
                <w:szCs w:val="28"/>
              </w:rPr>
              <w:t>Health and wellbeing – oral hygiene</w:t>
            </w:r>
          </w:p>
        </w:tc>
        <w:tc>
          <w:tcPr>
            <w:tcW w:w="2409" w:type="dxa"/>
          </w:tcPr>
          <w:p w14:paraId="719F2C80" w14:textId="27CE59DA" w:rsidR="009A0130" w:rsidRPr="00CB55A3" w:rsidRDefault="008E3AB0" w:rsidP="00722827">
            <w:pPr>
              <w:spacing w:after="160" w:line="259" w:lineRule="auto"/>
              <w:rPr>
                <w:b/>
                <w:bCs/>
                <w:sz w:val="28"/>
                <w:szCs w:val="28"/>
              </w:rPr>
            </w:pPr>
            <w:r>
              <w:rPr>
                <w:b/>
                <w:bCs/>
                <w:sz w:val="28"/>
                <w:szCs w:val="28"/>
              </w:rPr>
              <w:t xml:space="preserve">Health and wellbeing – drugs and alcohol </w:t>
            </w:r>
          </w:p>
        </w:tc>
        <w:tc>
          <w:tcPr>
            <w:tcW w:w="2552" w:type="dxa"/>
          </w:tcPr>
          <w:p w14:paraId="027B1FEB" w14:textId="6AB892CE" w:rsidR="009A0130" w:rsidRPr="00CB55A3" w:rsidRDefault="008E3AB0" w:rsidP="00722827">
            <w:pPr>
              <w:spacing w:after="160" w:line="259" w:lineRule="auto"/>
              <w:rPr>
                <w:b/>
                <w:bCs/>
                <w:sz w:val="28"/>
                <w:szCs w:val="28"/>
              </w:rPr>
            </w:pPr>
            <w:r>
              <w:rPr>
                <w:b/>
                <w:bCs/>
                <w:sz w:val="28"/>
                <w:szCs w:val="28"/>
              </w:rPr>
              <w:t xml:space="preserve">Healthy relationships – identity and relationships </w:t>
            </w:r>
          </w:p>
        </w:tc>
        <w:tc>
          <w:tcPr>
            <w:tcW w:w="2636" w:type="dxa"/>
          </w:tcPr>
          <w:p w14:paraId="48841FC3" w14:textId="2E273DA1" w:rsidR="009A0130" w:rsidRPr="00CB55A3" w:rsidRDefault="008E3AB0" w:rsidP="00722827">
            <w:pPr>
              <w:spacing w:after="160" w:line="259" w:lineRule="auto"/>
              <w:rPr>
                <w:b/>
                <w:bCs/>
                <w:sz w:val="28"/>
                <w:szCs w:val="28"/>
              </w:rPr>
            </w:pPr>
            <w:r>
              <w:rPr>
                <w:b/>
                <w:bCs/>
                <w:sz w:val="28"/>
                <w:szCs w:val="28"/>
              </w:rPr>
              <w:t>Living in the wider world – digital literacy</w:t>
            </w:r>
          </w:p>
        </w:tc>
      </w:tr>
      <w:tr w:rsidR="005C148F" w:rsidRPr="00CB55A3" w14:paraId="7CF55F65" w14:textId="77777777" w:rsidTr="00FE2D6E">
        <w:trPr>
          <w:trHeight w:val="1003"/>
        </w:trPr>
        <w:tc>
          <w:tcPr>
            <w:tcW w:w="2263" w:type="dxa"/>
          </w:tcPr>
          <w:p w14:paraId="51A714CF" w14:textId="4ACB255F" w:rsidR="009A0130" w:rsidRPr="00CB55A3" w:rsidRDefault="00E8695E" w:rsidP="00722827">
            <w:pPr>
              <w:spacing w:after="160" w:line="259" w:lineRule="auto"/>
            </w:pPr>
            <w:r w:rsidRPr="00FE2D6E">
              <w:rPr>
                <w:rStyle w:val="normaltextrun"/>
                <w:rFonts w:ascii="Calibri" w:hAnsi="Calibri" w:cs="Calibri"/>
                <w:color w:val="000000"/>
                <w:shd w:val="clear" w:color="auto" w:fill="FFFFFF"/>
              </w:rPr>
              <w:t>We start year 8 with an emphasis on positive mental health and with the aim of giving students the skills required to control their emotions and mental wellbeing as best they can. </w:t>
            </w:r>
            <w:r w:rsidRPr="00FE2D6E">
              <w:rPr>
                <w:rStyle w:val="eop"/>
                <w:rFonts w:ascii="Calibri" w:hAnsi="Calibri" w:cs="Calibri"/>
                <w:color w:val="000000"/>
                <w:shd w:val="clear" w:color="auto" w:fill="FFFFFF"/>
              </w:rPr>
              <w:t> </w:t>
            </w:r>
          </w:p>
        </w:tc>
        <w:tc>
          <w:tcPr>
            <w:tcW w:w="2552" w:type="dxa"/>
          </w:tcPr>
          <w:p w14:paraId="11D63B05" w14:textId="30AF2148" w:rsidR="009A0130" w:rsidRPr="00CB55A3" w:rsidRDefault="00E8695E" w:rsidP="00722827">
            <w:pPr>
              <w:spacing w:after="160" w:line="259" w:lineRule="auto"/>
            </w:pPr>
            <w:r w:rsidRPr="00FE2D6E">
              <w:rPr>
                <w:rStyle w:val="normaltextrun"/>
                <w:rFonts w:ascii="Calibri" w:hAnsi="Calibri" w:cs="Calibri"/>
                <w:color w:val="000000"/>
                <w:shd w:val="clear" w:color="auto" w:fill="FFFFFF"/>
              </w:rPr>
              <w:t>We explore issues surrounding gender at this point of year 8 as we feel that students have the emotional maturity to start to cope with these conversations. It is also important to ensure all students are educated on these issues so that they are equipped to accept any changes which their peers wish to make. </w:t>
            </w:r>
          </w:p>
        </w:tc>
        <w:tc>
          <w:tcPr>
            <w:tcW w:w="2977" w:type="dxa"/>
          </w:tcPr>
          <w:p w14:paraId="62A2DEEB" w14:textId="0737FD13" w:rsidR="009A0130" w:rsidRPr="00CB55A3" w:rsidRDefault="009C5C6F" w:rsidP="00722827">
            <w:pPr>
              <w:spacing w:after="160" w:line="259" w:lineRule="auto"/>
            </w:pPr>
            <w:r w:rsidRPr="00FE2D6E">
              <w:rPr>
                <w:rStyle w:val="normaltextrun"/>
                <w:rFonts w:ascii="Calibri" w:hAnsi="Calibri" w:cs="Calibri"/>
                <w:color w:val="000000"/>
                <w:shd w:val="clear" w:color="auto" w:fill="FFFFFF"/>
              </w:rPr>
              <w:t xml:space="preserve">Following on from a composite which focuses on students developing an understanding of their self-worth, it fits well that the next unit would focus on their physical health. Understanding oral hygiene will not only help students with their physical health, but it can also have a positive impact on their mental health. </w:t>
            </w:r>
          </w:p>
        </w:tc>
        <w:tc>
          <w:tcPr>
            <w:tcW w:w="2409" w:type="dxa"/>
          </w:tcPr>
          <w:p w14:paraId="1D4ECEBD" w14:textId="4398683D" w:rsidR="009A0130" w:rsidRPr="00CB55A3" w:rsidRDefault="00B241BB" w:rsidP="00722827">
            <w:pPr>
              <w:spacing w:after="160" w:line="259" w:lineRule="auto"/>
            </w:pPr>
            <w:r w:rsidRPr="00FE2D6E">
              <w:rPr>
                <w:rStyle w:val="normaltextrun"/>
                <w:rFonts w:ascii="Calibri" w:hAnsi="Calibri" w:cs="Calibri"/>
                <w:color w:val="000000"/>
                <w:shd w:val="clear" w:color="auto" w:fill="FFFFFF"/>
              </w:rPr>
              <w:t>This unit is apt here as it builds on content taught in the previous term. Students will move on from studying oral hygiene and the negative impact of certain food and drink on the mouth, to then studying the negative impact of certain substances on the body. This will help them build a robust picture of what health and wellbeing is. </w:t>
            </w:r>
          </w:p>
        </w:tc>
        <w:tc>
          <w:tcPr>
            <w:tcW w:w="2552" w:type="dxa"/>
          </w:tcPr>
          <w:p w14:paraId="735DFBAE" w14:textId="25FA5AD8" w:rsidR="009A0130" w:rsidRPr="00CB55A3" w:rsidRDefault="00B241BB" w:rsidP="00722827">
            <w:pPr>
              <w:spacing w:after="160" w:line="259" w:lineRule="auto"/>
            </w:pPr>
            <w:r w:rsidRPr="00FE2D6E">
              <w:rPr>
                <w:rStyle w:val="normaltextrun"/>
                <w:rFonts w:ascii="Calibri" w:hAnsi="Calibri" w:cs="Calibri"/>
                <w:color w:val="000000"/>
                <w:shd w:val="clear" w:color="auto" w:fill="FFFFFF"/>
              </w:rPr>
              <w:t xml:space="preserve">This is the first time we look at consent and contraception. It is revisited in years 9 &amp; 10, at a more </w:t>
            </w:r>
            <w:proofErr w:type="spellStart"/>
            <w:r w:rsidRPr="00FE2D6E">
              <w:rPr>
                <w:rStyle w:val="normaltextrun"/>
                <w:rFonts w:ascii="Calibri" w:hAnsi="Calibri" w:cs="Calibri"/>
                <w:color w:val="000000"/>
                <w:shd w:val="clear" w:color="auto" w:fill="FFFFFF"/>
              </w:rPr>
              <w:t>indepth</w:t>
            </w:r>
            <w:proofErr w:type="spellEnd"/>
            <w:r w:rsidRPr="00FE2D6E">
              <w:rPr>
                <w:rStyle w:val="normaltextrun"/>
                <w:rFonts w:ascii="Calibri" w:hAnsi="Calibri" w:cs="Calibri"/>
                <w:color w:val="000000"/>
                <w:shd w:val="clear" w:color="auto" w:fill="FFFFFF"/>
              </w:rPr>
              <w:t xml:space="preserve"> level. We look at consent from both a sexual point of view, but also a friendship perspective. We aim to empower the students to be in control of their bodies, their lives and their decisions. </w:t>
            </w:r>
            <w:r w:rsidRPr="00FE2D6E">
              <w:rPr>
                <w:rStyle w:val="eop"/>
                <w:rFonts w:ascii="Calibri" w:hAnsi="Calibri" w:cs="Calibri"/>
                <w:color w:val="000000"/>
                <w:shd w:val="clear" w:color="auto" w:fill="FFFFFF"/>
              </w:rPr>
              <w:t> </w:t>
            </w:r>
          </w:p>
        </w:tc>
        <w:tc>
          <w:tcPr>
            <w:tcW w:w="2636" w:type="dxa"/>
          </w:tcPr>
          <w:p w14:paraId="579C3BBB" w14:textId="5D989DA4" w:rsidR="00B85972" w:rsidRPr="00FE2D6E" w:rsidRDefault="00B85972" w:rsidP="00B85972">
            <w:pPr>
              <w:pStyle w:val="paragraph"/>
              <w:spacing w:before="0" w:beforeAutospacing="0" w:after="0" w:afterAutospacing="0"/>
              <w:textAlignment w:val="baseline"/>
              <w:rPr>
                <w:rFonts w:ascii="Segoe UI" w:hAnsi="Segoe UI" w:cs="Segoe UI"/>
                <w:sz w:val="22"/>
                <w:szCs w:val="22"/>
              </w:rPr>
            </w:pPr>
            <w:r w:rsidRPr="00FE2D6E">
              <w:rPr>
                <w:rStyle w:val="normaltextrun"/>
                <w:rFonts w:ascii="Calibri" w:hAnsi="Calibri" w:cs="Calibri"/>
                <w:color w:val="000000"/>
                <w:sz w:val="22"/>
                <w:szCs w:val="22"/>
              </w:rPr>
              <w:t>Following on from the work we do on friendships, we also want to ensure our students understand the right ways of conducting themselves online. We use this as an opportunity to also discuss the risks / dangers of forming friendships with people online and the dangers of oversharing personal information online. </w:t>
            </w:r>
            <w:r w:rsidRPr="00FE2D6E">
              <w:rPr>
                <w:rStyle w:val="eop"/>
                <w:rFonts w:ascii="Calibri" w:hAnsi="Calibri" w:cs="Calibri"/>
                <w:color w:val="000000"/>
                <w:sz w:val="22"/>
                <w:szCs w:val="22"/>
              </w:rPr>
              <w:t> </w:t>
            </w:r>
          </w:p>
          <w:p w14:paraId="778D25F0" w14:textId="02B32756" w:rsidR="009A0130" w:rsidRPr="00CB55A3" w:rsidRDefault="009A0130" w:rsidP="00B85972">
            <w:pPr>
              <w:spacing w:after="160" w:line="259" w:lineRule="auto"/>
              <w:ind w:firstLine="720"/>
              <w:jc w:val="center"/>
            </w:pPr>
          </w:p>
        </w:tc>
      </w:tr>
    </w:tbl>
    <w:p w14:paraId="7FA468C1" w14:textId="77777777" w:rsidR="009A0130" w:rsidRDefault="009A0130" w:rsidP="00CB55A3">
      <w:pPr>
        <w:jc w:val="center"/>
        <w:rPr>
          <w:b/>
          <w:bCs/>
          <w:sz w:val="44"/>
          <w:szCs w:val="44"/>
          <w:u w:val="single"/>
        </w:rPr>
      </w:pPr>
    </w:p>
    <w:p w14:paraId="7E4EDE0B" w14:textId="77777777" w:rsidR="009A0130" w:rsidRDefault="009A0130" w:rsidP="00CB55A3">
      <w:pPr>
        <w:jc w:val="center"/>
        <w:rPr>
          <w:b/>
          <w:bCs/>
          <w:sz w:val="44"/>
          <w:szCs w:val="44"/>
          <w:u w:val="single"/>
        </w:rPr>
      </w:pPr>
    </w:p>
    <w:p w14:paraId="25B47D11" w14:textId="77777777" w:rsidR="009A0130" w:rsidRDefault="009A0130" w:rsidP="00CB55A3">
      <w:pPr>
        <w:jc w:val="center"/>
        <w:rPr>
          <w:b/>
          <w:bCs/>
          <w:sz w:val="44"/>
          <w:szCs w:val="44"/>
          <w:u w:val="single"/>
        </w:rPr>
      </w:pPr>
    </w:p>
    <w:p w14:paraId="54365BBD" w14:textId="77777777" w:rsidR="009A0130" w:rsidRDefault="009A0130" w:rsidP="00CB55A3">
      <w:pPr>
        <w:jc w:val="center"/>
        <w:rPr>
          <w:b/>
          <w:bCs/>
          <w:sz w:val="44"/>
          <w:szCs w:val="44"/>
          <w:u w:val="single"/>
        </w:rPr>
      </w:pPr>
    </w:p>
    <w:p w14:paraId="12B205C7" w14:textId="32741C49" w:rsidR="009A0130" w:rsidRDefault="009A0130" w:rsidP="009A0130">
      <w:pPr>
        <w:jc w:val="center"/>
        <w:rPr>
          <w:b/>
          <w:bCs/>
          <w:sz w:val="44"/>
          <w:szCs w:val="44"/>
          <w:u w:val="single"/>
        </w:rPr>
      </w:pPr>
      <w:r w:rsidRPr="00CB55A3">
        <w:rPr>
          <w:b/>
          <w:bCs/>
          <w:sz w:val="44"/>
          <w:szCs w:val="44"/>
          <w:u w:val="single"/>
        </w:rPr>
        <w:lastRenderedPageBreak/>
        <w:t>Weekly Wellbeing – Y</w:t>
      </w:r>
      <w:r>
        <w:rPr>
          <w:b/>
          <w:bCs/>
          <w:sz w:val="44"/>
          <w:szCs w:val="44"/>
          <w:u w:val="single"/>
        </w:rPr>
        <w:t>9</w:t>
      </w:r>
      <w:r w:rsidRPr="00CB55A3">
        <w:rPr>
          <w:b/>
          <w:bCs/>
          <w:sz w:val="44"/>
          <w:szCs w:val="44"/>
          <w:u w:val="single"/>
        </w:rPr>
        <w:t xml:space="preserve"> Themes</w:t>
      </w:r>
    </w:p>
    <w:p w14:paraId="1C12B7D2" w14:textId="1522C44A" w:rsidR="00FE2D6E" w:rsidRPr="00FE2D6E" w:rsidRDefault="00FE2D6E" w:rsidP="00FE2D6E">
      <w:pPr>
        <w:tabs>
          <w:tab w:val="left" w:pos="8364"/>
        </w:tabs>
        <w:rPr>
          <w:sz w:val="44"/>
          <w:szCs w:val="44"/>
        </w:rPr>
      </w:pPr>
      <w:r>
        <w:rPr>
          <w:sz w:val="44"/>
          <w:szCs w:val="44"/>
        </w:rPr>
        <w:tab/>
      </w:r>
    </w:p>
    <w:tbl>
      <w:tblPr>
        <w:tblStyle w:val="GridTable4-Accent6"/>
        <w:tblpPr w:leftFromText="180" w:rightFromText="180" w:vertAnchor="page" w:horzAnchor="margin" w:tblpY="1441"/>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22"/>
        <w:gridCol w:w="2126"/>
        <w:gridCol w:w="2410"/>
        <w:gridCol w:w="3118"/>
        <w:gridCol w:w="2835"/>
        <w:gridCol w:w="2778"/>
      </w:tblGrid>
      <w:tr w:rsidR="009A0130" w:rsidRPr="00CB55A3" w14:paraId="35F79E76" w14:textId="77777777" w:rsidTr="006E2E55">
        <w:trPr>
          <w:cnfStyle w:val="100000000000" w:firstRow="1" w:lastRow="0" w:firstColumn="0" w:lastColumn="0" w:oddVBand="0" w:evenVBand="0" w:oddHBand="0" w:evenHBand="0" w:firstRowFirstColumn="0" w:firstRowLastColumn="0" w:lastRowFirstColumn="0" w:lastRowLastColumn="0"/>
          <w:trHeight w:val="557"/>
        </w:trPr>
        <w:tc>
          <w:tcPr>
            <w:tcW w:w="2122" w:type="dxa"/>
            <w:tcBorders>
              <w:top w:val="none" w:sz="0" w:space="0" w:color="auto"/>
              <w:left w:val="none" w:sz="0" w:space="0" w:color="auto"/>
              <w:bottom w:val="none" w:sz="0" w:space="0" w:color="auto"/>
              <w:right w:val="none" w:sz="0" w:space="0" w:color="auto"/>
            </w:tcBorders>
            <w:hideMark/>
          </w:tcPr>
          <w:p w14:paraId="52945D10" w14:textId="77777777" w:rsidR="009A0130" w:rsidRPr="00CB55A3" w:rsidRDefault="009A0130" w:rsidP="00722827">
            <w:pPr>
              <w:jc w:val="center"/>
              <w:rPr>
                <w:sz w:val="44"/>
                <w:szCs w:val="44"/>
              </w:rPr>
            </w:pPr>
            <w:r w:rsidRPr="00CB55A3">
              <w:rPr>
                <w:sz w:val="44"/>
                <w:szCs w:val="44"/>
                <w:lang w:val="en-US"/>
              </w:rPr>
              <w:t>Term 1</w:t>
            </w:r>
          </w:p>
        </w:tc>
        <w:tc>
          <w:tcPr>
            <w:tcW w:w="2126" w:type="dxa"/>
            <w:tcBorders>
              <w:top w:val="none" w:sz="0" w:space="0" w:color="auto"/>
              <w:left w:val="none" w:sz="0" w:space="0" w:color="auto"/>
              <w:bottom w:val="none" w:sz="0" w:space="0" w:color="auto"/>
              <w:right w:val="none" w:sz="0" w:space="0" w:color="auto"/>
            </w:tcBorders>
            <w:hideMark/>
          </w:tcPr>
          <w:p w14:paraId="20C30A61" w14:textId="77777777" w:rsidR="009A0130" w:rsidRPr="00CB55A3" w:rsidRDefault="009A0130" w:rsidP="00722827">
            <w:pPr>
              <w:spacing w:after="160" w:line="259" w:lineRule="auto"/>
              <w:jc w:val="center"/>
              <w:rPr>
                <w:sz w:val="44"/>
                <w:szCs w:val="44"/>
              </w:rPr>
            </w:pPr>
            <w:r w:rsidRPr="00CB55A3">
              <w:rPr>
                <w:sz w:val="44"/>
                <w:szCs w:val="44"/>
                <w:lang w:val="en-US"/>
              </w:rPr>
              <w:t>Term 2</w:t>
            </w:r>
          </w:p>
        </w:tc>
        <w:tc>
          <w:tcPr>
            <w:tcW w:w="2410" w:type="dxa"/>
            <w:tcBorders>
              <w:top w:val="none" w:sz="0" w:space="0" w:color="auto"/>
              <w:left w:val="none" w:sz="0" w:space="0" w:color="auto"/>
              <w:bottom w:val="none" w:sz="0" w:space="0" w:color="auto"/>
              <w:right w:val="none" w:sz="0" w:space="0" w:color="auto"/>
            </w:tcBorders>
            <w:hideMark/>
          </w:tcPr>
          <w:p w14:paraId="7571DD5D" w14:textId="77777777" w:rsidR="009A0130" w:rsidRPr="00CB55A3" w:rsidRDefault="009A0130" w:rsidP="00722827">
            <w:pPr>
              <w:spacing w:after="160" w:line="259" w:lineRule="auto"/>
              <w:jc w:val="center"/>
              <w:rPr>
                <w:sz w:val="44"/>
                <w:szCs w:val="44"/>
              </w:rPr>
            </w:pPr>
            <w:r w:rsidRPr="00CB55A3">
              <w:rPr>
                <w:sz w:val="44"/>
                <w:szCs w:val="44"/>
                <w:lang w:val="en-US"/>
              </w:rPr>
              <w:t>Term 3</w:t>
            </w:r>
          </w:p>
        </w:tc>
        <w:tc>
          <w:tcPr>
            <w:tcW w:w="3118" w:type="dxa"/>
            <w:tcBorders>
              <w:top w:val="none" w:sz="0" w:space="0" w:color="auto"/>
              <w:left w:val="none" w:sz="0" w:space="0" w:color="auto"/>
              <w:bottom w:val="none" w:sz="0" w:space="0" w:color="auto"/>
              <w:right w:val="none" w:sz="0" w:space="0" w:color="auto"/>
            </w:tcBorders>
            <w:hideMark/>
          </w:tcPr>
          <w:p w14:paraId="2C46267B" w14:textId="77777777" w:rsidR="009A0130" w:rsidRPr="00CB55A3" w:rsidRDefault="009A0130" w:rsidP="00722827">
            <w:pPr>
              <w:spacing w:after="160" w:line="259" w:lineRule="auto"/>
              <w:jc w:val="center"/>
              <w:rPr>
                <w:sz w:val="44"/>
                <w:szCs w:val="44"/>
              </w:rPr>
            </w:pPr>
            <w:r w:rsidRPr="00CB55A3">
              <w:rPr>
                <w:sz w:val="44"/>
                <w:szCs w:val="44"/>
                <w:lang w:val="en-US"/>
              </w:rPr>
              <w:t>Term 4</w:t>
            </w:r>
          </w:p>
        </w:tc>
        <w:tc>
          <w:tcPr>
            <w:tcW w:w="2835" w:type="dxa"/>
            <w:tcBorders>
              <w:top w:val="none" w:sz="0" w:space="0" w:color="auto"/>
              <w:left w:val="none" w:sz="0" w:space="0" w:color="auto"/>
              <w:bottom w:val="none" w:sz="0" w:space="0" w:color="auto"/>
              <w:right w:val="none" w:sz="0" w:space="0" w:color="auto"/>
            </w:tcBorders>
            <w:hideMark/>
          </w:tcPr>
          <w:p w14:paraId="1A3F1387" w14:textId="77777777" w:rsidR="009A0130" w:rsidRPr="00CB55A3" w:rsidRDefault="009A0130" w:rsidP="00722827">
            <w:pPr>
              <w:spacing w:after="160" w:line="259" w:lineRule="auto"/>
              <w:jc w:val="center"/>
              <w:rPr>
                <w:sz w:val="44"/>
                <w:szCs w:val="44"/>
              </w:rPr>
            </w:pPr>
            <w:r w:rsidRPr="00CB55A3">
              <w:rPr>
                <w:sz w:val="44"/>
                <w:szCs w:val="44"/>
                <w:lang w:val="en-US"/>
              </w:rPr>
              <w:t>Term 5</w:t>
            </w:r>
          </w:p>
        </w:tc>
        <w:tc>
          <w:tcPr>
            <w:tcW w:w="2778" w:type="dxa"/>
            <w:tcBorders>
              <w:top w:val="none" w:sz="0" w:space="0" w:color="auto"/>
              <w:left w:val="none" w:sz="0" w:space="0" w:color="auto"/>
              <w:bottom w:val="none" w:sz="0" w:space="0" w:color="auto"/>
              <w:right w:val="none" w:sz="0" w:space="0" w:color="auto"/>
            </w:tcBorders>
            <w:hideMark/>
          </w:tcPr>
          <w:p w14:paraId="00DCE987" w14:textId="77777777" w:rsidR="009A0130" w:rsidRPr="00CB55A3" w:rsidRDefault="009A0130" w:rsidP="00722827">
            <w:pPr>
              <w:spacing w:after="160" w:line="259" w:lineRule="auto"/>
              <w:jc w:val="center"/>
              <w:rPr>
                <w:sz w:val="44"/>
                <w:szCs w:val="44"/>
              </w:rPr>
            </w:pPr>
            <w:r w:rsidRPr="00CB55A3">
              <w:rPr>
                <w:sz w:val="44"/>
                <w:szCs w:val="44"/>
                <w:lang w:val="en-US"/>
              </w:rPr>
              <w:t>Term 6</w:t>
            </w:r>
          </w:p>
        </w:tc>
      </w:tr>
      <w:tr w:rsidR="009A0130" w:rsidRPr="00CB55A3" w14:paraId="5153EDC6" w14:textId="77777777" w:rsidTr="006E2E55">
        <w:trPr>
          <w:cnfStyle w:val="000000100000" w:firstRow="0" w:lastRow="0" w:firstColumn="0" w:lastColumn="0" w:oddVBand="0" w:evenVBand="0" w:oddHBand="1" w:evenHBand="0" w:firstRowFirstColumn="0" w:firstRowLastColumn="0" w:lastRowFirstColumn="0" w:lastRowLastColumn="0"/>
          <w:trHeight w:val="1003"/>
        </w:trPr>
        <w:tc>
          <w:tcPr>
            <w:tcW w:w="2122" w:type="dxa"/>
          </w:tcPr>
          <w:p w14:paraId="7786D41B" w14:textId="24EF03A6" w:rsidR="009A0130" w:rsidRPr="00CB55A3" w:rsidRDefault="00FB52B3" w:rsidP="00722827">
            <w:pPr>
              <w:spacing w:after="160" w:line="259" w:lineRule="auto"/>
              <w:rPr>
                <w:b/>
                <w:bCs/>
                <w:sz w:val="28"/>
                <w:szCs w:val="28"/>
              </w:rPr>
            </w:pPr>
            <w:r>
              <w:rPr>
                <w:b/>
                <w:bCs/>
                <w:sz w:val="28"/>
                <w:szCs w:val="28"/>
              </w:rPr>
              <w:t>Health and wellbeing – peer influence</w:t>
            </w:r>
          </w:p>
        </w:tc>
        <w:tc>
          <w:tcPr>
            <w:tcW w:w="2126" w:type="dxa"/>
          </w:tcPr>
          <w:p w14:paraId="0A8400CE" w14:textId="50EAF3CA" w:rsidR="009A0130" w:rsidRPr="00CB55A3" w:rsidRDefault="00FB52B3" w:rsidP="00722827">
            <w:pPr>
              <w:spacing w:after="160" w:line="259" w:lineRule="auto"/>
              <w:rPr>
                <w:b/>
                <w:bCs/>
                <w:sz w:val="28"/>
                <w:szCs w:val="28"/>
              </w:rPr>
            </w:pPr>
            <w:r>
              <w:rPr>
                <w:b/>
                <w:bCs/>
                <w:sz w:val="28"/>
                <w:szCs w:val="28"/>
              </w:rPr>
              <w:t>Healthy relationships – families</w:t>
            </w:r>
          </w:p>
        </w:tc>
        <w:tc>
          <w:tcPr>
            <w:tcW w:w="2410" w:type="dxa"/>
          </w:tcPr>
          <w:p w14:paraId="051F8F05" w14:textId="49922FAE" w:rsidR="009A0130" w:rsidRPr="00CB55A3" w:rsidRDefault="00256373" w:rsidP="00722827">
            <w:pPr>
              <w:spacing w:after="160" w:line="259" w:lineRule="auto"/>
              <w:rPr>
                <w:b/>
                <w:bCs/>
                <w:sz w:val="28"/>
                <w:szCs w:val="28"/>
              </w:rPr>
            </w:pPr>
            <w:r>
              <w:rPr>
                <w:b/>
                <w:bCs/>
                <w:sz w:val="28"/>
                <w:szCs w:val="28"/>
              </w:rPr>
              <w:t xml:space="preserve">Living in the wider world – setting goals </w:t>
            </w:r>
          </w:p>
        </w:tc>
        <w:tc>
          <w:tcPr>
            <w:tcW w:w="3118" w:type="dxa"/>
          </w:tcPr>
          <w:p w14:paraId="26BE5E6D" w14:textId="5223BD85" w:rsidR="009A0130" w:rsidRPr="00CB55A3" w:rsidRDefault="00256373" w:rsidP="00722827">
            <w:pPr>
              <w:spacing w:after="160" w:line="259" w:lineRule="auto"/>
              <w:rPr>
                <w:b/>
                <w:bCs/>
                <w:sz w:val="28"/>
                <w:szCs w:val="28"/>
              </w:rPr>
            </w:pPr>
            <w:r>
              <w:rPr>
                <w:b/>
                <w:bCs/>
                <w:sz w:val="28"/>
                <w:szCs w:val="28"/>
              </w:rPr>
              <w:t xml:space="preserve">Health and wellbeing – my health and my future </w:t>
            </w:r>
          </w:p>
        </w:tc>
        <w:tc>
          <w:tcPr>
            <w:tcW w:w="2835" w:type="dxa"/>
          </w:tcPr>
          <w:p w14:paraId="70394A7F" w14:textId="5923C24B" w:rsidR="009A0130" w:rsidRPr="00CB55A3" w:rsidRDefault="00A70C09" w:rsidP="00722827">
            <w:pPr>
              <w:spacing w:after="160" w:line="259" w:lineRule="auto"/>
              <w:rPr>
                <w:b/>
                <w:bCs/>
                <w:sz w:val="28"/>
                <w:szCs w:val="28"/>
              </w:rPr>
            </w:pPr>
            <w:r>
              <w:rPr>
                <w:b/>
                <w:bCs/>
                <w:sz w:val="28"/>
                <w:szCs w:val="28"/>
              </w:rPr>
              <w:t>Healthy relationships – intimate relationships</w:t>
            </w:r>
          </w:p>
        </w:tc>
        <w:tc>
          <w:tcPr>
            <w:tcW w:w="2778" w:type="dxa"/>
          </w:tcPr>
          <w:p w14:paraId="60EBCE3D" w14:textId="54C6D290" w:rsidR="009A0130" w:rsidRPr="00CB55A3" w:rsidRDefault="00A70C09" w:rsidP="00722827">
            <w:pPr>
              <w:spacing w:after="160" w:line="259" w:lineRule="auto"/>
              <w:rPr>
                <w:b/>
                <w:bCs/>
                <w:sz w:val="28"/>
                <w:szCs w:val="28"/>
              </w:rPr>
            </w:pPr>
            <w:r>
              <w:rPr>
                <w:b/>
                <w:bCs/>
                <w:sz w:val="28"/>
                <w:szCs w:val="28"/>
              </w:rPr>
              <w:t xml:space="preserve">Living in the wider world – citizenship </w:t>
            </w:r>
          </w:p>
        </w:tc>
      </w:tr>
      <w:tr w:rsidR="003D27B0" w:rsidRPr="00CB55A3" w14:paraId="414CEEF4" w14:textId="77777777" w:rsidTr="006E2E55">
        <w:trPr>
          <w:trHeight w:val="1003"/>
        </w:trPr>
        <w:tc>
          <w:tcPr>
            <w:tcW w:w="2122" w:type="dxa"/>
          </w:tcPr>
          <w:p w14:paraId="1BD5A930" w14:textId="24938B6C" w:rsidR="009A0130" w:rsidRPr="00CB55A3" w:rsidRDefault="00C37037" w:rsidP="00722827">
            <w:pPr>
              <w:spacing w:after="160" w:line="259" w:lineRule="auto"/>
            </w:pPr>
            <w:r>
              <w:rPr>
                <w:rStyle w:val="normaltextrun"/>
                <w:rFonts w:ascii="Calibri" w:hAnsi="Calibri" w:cs="Calibri"/>
                <w:color w:val="000000"/>
                <w:shd w:val="clear" w:color="auto" w:fill="FFFFFF"/>
              </w:rPr>
              <w:t>As students are getting older, we start to look at the dangers of crime. As part of the gang culture lessons, we also revisit healthy friendships and what a positive friendship looks like. </w:t>
            </w:r>
          </w:p>
        </w:tc>
        <w:tc>
          <w:tcPr>
            <w:tcW w:w="2126" w:type="dxa"/>
          </w:tcPr>
          <w:p w14:paraId="6EC84B42" w14:textId="73BFA7A5" w:rsidR="009A0130" w:rsidRPr="00CB55A3" w:rsidRDefault="00C37037" w:rsidP="00722827">
            <w:pPr>
              <w:spacing w:after="160" w:line="259" w:lineRule="auto"/>
            </w:pPr>
            <w:r>
              <w:rPr>
                <w:rStyle w:val="normaltextrun"/>
                <w:rFonts w:ascii="Calibri" w:hAnsi="Calibri" w:cs="Calibri"/>
                <w:color w:val="000000"/>
                <w:shd w:val="clear" w:color="auto" w:fill="FFFFFF"/>
              </w:rPr>
              <w:t>Following on from the positive friendships interleave that took place in term 1, we now start to look at changes within the home. The skills learnt as we discussed healthy friendships should be useful when discussing healthy familial relationships. </w:t>
            </w:r>
          </w:p>
        </w:tc>
        <w:tc>
          <w:tcPr>
            <w:tcW w:w="2410" w:type="dxa"/>
          </w:tcPr>
          <w:p w14:paraId="14FC255B" w14:textId="47523841" w:rsidR="009A0130" w:rsidRPr="00CB55A3" w:rsidRDefault="00D73557" w:rsidP="00722827">
            <w:pPr>
              <w:spacing w:after="160" w:line="259" w:lineRule="auto"/>
            </w:pPr>
            <w:r>
              <w:rPr>
                <w:rStyle w:val="normaltextrun"/>
                <w:rFonts w:ascii="Calibri" w:hAnsi="Calibri" w:cs="Calibri"/>
                <w:color w:val="000000"/>
                <w:shd w:val="clear" w:color="auto" w:fill="FFFFFF"/>
              </w:rPr>
              <w:t>Our year 9 students will make their options choices in term 4, but they need time to learn about the options and to become fully prepared to make the choices which are right to them. This unit helps students to understand what options are out there for them, and also what options are available after school. These components will be delivered alongside further collaboration with C&amp;K to help students become more aware of what they want to do in their future. </w:t>
            </w:r>
          </w:p>
        </w:tc>
        <w:tc>
          <w:tcPr>
            <w:tcW w:w="3118" w:type="dxa"/>
          </w:tcPr>
          <w:p w14:paraId="2831C9A2" w14:textId="50F1BF0A" w:rsidR="009A0130" w:rsidRPr="00CB55A3" w:rsidRDefault="00D73557" w:rsidP="00722827">
            <w:pPr>
              <w:spacing w:after="160" w:line="259" w:lineRule="auto"/>
            </w:pPr>
            <w:r>
              <w:rPr>
                <w:rStyle w:val="normaltextrun"/>
                <w:rFonts w:ascii="Calibri" w:hAnsi="Calibri" w:cs="Calibri"/>
                <w:color w:val="000000"/>
                <w:shd w:val="clear" w:color="auto" w:fill="FFFFFF"/>
              </w:rPr>
              <w:t>This unit starts with interleaved topics that have been taught earlier on in our curriculum. This is an appropriate time to revisit them as students are getting older and may need reminding of the negative impacts that alcohol, drugs and smoking have on the body. This will then lead us in to talking about how young people need to take responsibility for themselves when checking certain areas of the body. This is also an appropriate time to link in with local charities who support people who are suffering from breast / testicular cancer.</w:t>
            </w:r>
          </w:p>
        </w:tc>
        <w:tc>
          <w:tcPr>
            <w:tcW w:w="2835" w:type="dxa"/>
          </w:tcPr>
          <w:p w14:paraId="191120D3" w14:textId="5AFB2CB6" w:rsidR="009A0130" w:rsidRPr="00CB55A3" w:rsidRDefault="00043FDE" w:rsidP="00722827">
            <w:pPr>
              <w:spacing w:after="160" w:line="259" w:lineRule="auto"/>
            </w:pPr>
            <w:r>
              <w:rPr>
                <w:rStyle w:val="normaltextrun"/>
                <w:rFonts w:ascii="Calibri" w:hAnsi="Calibri" w:cs="Calibri"/>
                <w:color w:val="000000"/>
                <w:shd w:val="clear" w:color="auto" w:fill="FFFFFF"/>
              </w:rPr>
              <w:t>As we revisit consent and contraception from year 8, we now delve a little deeper. Students should have the emotional maturity at this point to handle discussions on pregnancy options, such as abortion and adoption. This also fits well with what they have learnt in their science and RS curriculums. </w:t>
            </w:r>
          </w:p>
        </w:tc>
        <w:tc>
          <w:tcPr>
            <w:tcW w:w="2778" w:type="dxa"/>
          </w:tcPr>
          <w:p w14:paraId="4124F161" w14:textId="685D8BDF" w:rsidR="009A0130" w:rsidRPr="00CB55A3" w:rsidRDefault="00334589" w:rsidP="00722827">
            <w:pPr>
              <w:spacing w:after="160" w:line="259" w:lineRule="auto"/>
            </w:pPr>
            <w:r>
              <w:rPr>
                <w:rStyle w:val="normaltextrun"/>
                <w:rFonts w:ascii="Calibri" w:hAnsi="Calibri" w:cs="Calibri"/>
                <w:color w:val="000000"/>
                <w:shd w:val="clear" w:color="auto" w:fill="FFFFFF"/>
              </w:rPr>
              <w:t>The year 9 Weekly Wellbeing curriculum looks at a variety of themes, as students prepare to leave KS3 and join KS4. By the end of year 9 we expect students to have started to think about their future goals, whether that is an idea of a career they may be interested in or a post-16 pathway that they think may be suitable for them. We aim for students to have a detailed understanding of the impact of alcohol, nicotine and drugs on their body (in both a physical and mental sense). </w:t>
            </w:r>
          </w:p>
        </w:tc>
      </w:tr>
    </w:tbl>
    <w:p w14:paraId="326ABB62" w14:textId="2BF46FF8" w:rsidR="009A0130" w:rsidRPr="00CB55A3" w:rsidRDefault="009A0130" w:rsidP="009A0130">
      <w:pPr>
        <w:jc w:val="center"/>
        <w:rPr>
          <w:b/>
          <w:bCs/>
          <w:sz w:val="44"/>
          <w:szCs w:val="44"/>
          <w:u w:val="single"/>
        </w:rPr>
      </w:pPr>
      <w:r w:rsidRPr="00CB55A3">
        <w:rPr>
          <w:b/>
          <w:bCs/>
          <w:sz w:val="44"/>
          <w:szCs w:val="44"/>
          <w:u w:val="single"/>
        </w:rPr>
        <w:lastRenderedPageBreak/>
        <w:t>Weekly Wellbeing – Y</w:t>
      </w:r>
      <w:r>
        <w:rPr>
          <w:b/>
          <w:bCs/>
          <w:sz w:val="44"/>
          <w:szCs w:val="44"/>
          <w:u w:val="single"/>
        </w:rPr>
        <w:t>10</w:t>
      </w:r>
      <w:r w:rsidRPr="00CB55A3">
        <w:rPr>
          <w:b/>
          <w:bCs/>
          <w:sz w:val="44"/>
          <w:szCs w:val="44"/>
          <w:u w:val="single"/>
        </w:rPr>
        <w:t xml:space="preserve"> Themes</w:t>
      </w:r>
    </w:p>
    <w:tbl>
      <w:tblPr>
        <w:tblStyle w:val="GridTable4-Accent4"/>
        <w:tblpPr w:leftFromText="180" w:rightFromText="180" w:vertAnchor="page" w:horzAnchor="margin" w:tblpY="1441"/>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65"/>
        <w:gridCol w:w="2565"/>
        <w:gridCol w:w="2945"/>
        <w:gridCol w:w="2184"/>
        <w:gridCol w:w="2069"/>
        <w:gridCol w:w="3061"/>
      </w:tblGrid>
      <w:tr w:rsidR="009A0130" w:rsidRPr="00CB55A3" w14:paraId="1239C4A3" w14:textId="77777777" w:rsidTr="00312608">
        <w:trPr>
          <w:cnfStyle w:val="100000000000" w:firstRow="1" w:lastRow="0" w:firstColumn="0" w:lastColumn="0" w:oddVBand="0" w:evenVBand="0" w:oddHBand="0" w:evenHBand="0" w:firstRowFirstColumn="0" w:firstRowLastColumn="0" w:lastRowFirstColumn="0" w:lastRowLastColumn="0"/>
          <w:trHeight w:val="557"/>
        </w:trPr>
        <w:tc>
          <w:tcPr>
            <w:tcW w:w="2565" w:type="dxa"/>
            <w:tcBorders>
              <w:top w:val="none" w:sz="0" w:space="0" w:color="auto"/>
              <w:left w:val="none" w:sz="0" w:space="0" w:color="auto"/>
              <w:bottom w:val="none" w:sz="0" w:space="0" w:color="auto"/>
              <w:right w:val="none" w:sz="0" w:space="0" w:color="auto"/>
            </w:tcBorders>
            <w:hideMark/>
          </w:tcPr>
          <w:p w14:paraId="43A3658F" w14:textId="77777777" w:rsidR="009A0130" w:rsidRPr="00CB55A3" w:rsidRDefault="009A0130" w:rsidP="00722827">
            <w:pPr>
              <w:jc w:val="center"/>
              <w:rPr>
                <w:sz w:val="44"/>
                <w:szCs w:val="44"/>
              </w:rPr>
            </w:pPr>
            <w:r w:rsidRPr="00CB55A3">
              <w:rPr>
                <w:sz w:val="44"/>
                <w:szCs w:val="44"/>
                <w:lang w:val="en-US"/>
              </w:rPr>
              <w:t>Term 1</w:t>
            </w:r>
          </w:p>
        </w:tc>
        <w:tc>
          <w:tcPr>
            <w:tcW w:w="2565" w:type="dxa"/>
            <w:tcBorders>
              <w:top w:val="none" w:sz="0" w:space="0" w:color="auto"/>
              <w:left w:val="none" w:sz="0" w:space="0" w:color="auto"/>
              <w:bottom w:val="none" w:sz="0" w:space="0" w:color="auto"/>
              <w:right w:val="none" w:sz="0" w:space="0" w:color="auto"/>
            </w:tcBorders>
            <w:hideMark/>
          </w:tcPr>
          <w:p w14:paraId="6E7BF94F" w14:textId="77777777" w:rsidR="009A0130" w:rsidRPr="00CB55A3" w:rsidRDefault="009A0130" w:rsidP="00722827">
            <w:pPr>
              <w:spacing w:after="160" w:line="259" w:lineRule="auto"/>
              <w:jc w:val="center"/>
              <w:rPr>
                <w:sz w:val="44"/>
                <w:szCs w:val="44"/>
              </w:rPr>
            </w:pPr>
            <w:r w:rsidRPr="00CB55A3">
              <w:rPr>
                <w:sz w:val="44"/>
                <w:szCs w:val="44"/>
                <w:lang w:val="en-US"/>
              </w:rPr>
              <w:t>Term 2</w:t>
            </w:r>
          </w:p>
        </w:tc>
        <w:tc>
          <w:tcPr>
            <w:tcW w:w="2945" w:type="dxa"/>
            <w:tcBorders>
              <w:top w:val="none" w:sz="0" w:space="0" w:color="auto"/>
              <w:left w:val="none" w:sz="0" w:space="0" w:color="auto"/>
              <w:bottom w:val="none" w:sz="0" w:space="0" w:color="auto"/>
              <w:right w:val="none" w:sz="0" w:space="0" w:color="auto"/>
            </w:tcBorders>
            <w:hideMark/>
          </w:tcPr>
          <w:p w14:paraId="25184E27" w14:textId="77777777" w:rsidR="009A0130" w:rsidRPr="00CB55A3" w:rsidRDefault="009A0130" w:rsidP="00722827">
            <w:pPr>
              <w:spacing w:after="160" w:line="259" w:lineRule="auto"/>
              <w:jc w:val="center"/>
              <w:rPr>
                <w:sz w:val="44"/>
                <w:szCs w:val="44"/>
              </w:rPr>
            </w:pPr>
            <w:r w:rsidRPr="00CB55A3">
              <w:rPr>
                <w:sz w:val="44"/>
                <w:szCs w:val="44"/>
                <w:lang w:val="en-US"/>
              </w:rPr>
              <w:t>Term 3</w:t>
            </w:r>
          </w:p>
        </w:tc>
        <w:tc>
          <w:tcPr>
            <w:tcW w:w="2184" w:type="dxa"/>
            <w:tcBorders>
              <w:top w:val="none" w:sz="0" w:space="0" w:color="auto"/>
              <w:left w:val="none" w:sz="0" w:space="0" w:color="auto"/>
              <w:bottom w:val="none" w:sz="0" w:space="0" w:color="auto"/>
              <w:right w:val="none" w:sz="0" w:space="0" w:color="auto"/>
            </w:tcBorders>
            <w:hideMark/>
          </w:tcPr>
          <w:p w14:paraId="307AEAC9" w14:textId="77777777" w:rsidR="009A0130" w:rsidRPr="00CB55A3" w:rsidRDefault="009A0130" w:rsidP="00722827">
            <w:pPr>
              <w:spacing w:after="160" w:line="259" w:lineRule="auto"/>
              <w:jc w:val="center"/>
              <w:rPr>
                <w:sz w:val="44"/>
                <w:szCs w:val="44"/>
              </w:rPr>
            </w:pPr>
            <w:r w:rsidRPr="00CB55A3">
              <w:rPr>
                <w:sz w:val="44"/>
                <w:szCs w:val="44"/>
                <w:lang w:val="en-US"/>
              </w:rPr>
              <w:t>Term 4</w:t>
            </w:r>
          </w:p>
        </w:tc>
        <w:tc>
          <w:tcPr>
            <w:tcW w:w="2069" w:type="dxa"/>
            <w:tcBorders>
              <w:top w:val="none" w:sz="0" w:space="0" w:color="auto"/>
              <w:left w:val="none" w:sz="0" w:space="0" w:color="auto"/>
              <w:bottom w:val="none" w:sz="0" w:space="0" w:color="auto"/>
              <w:right w:val="none" w:sz="0" w:space="0" w:color="auto"/>
            </w:tcBorders>
            <w:hideMark/>
          </w:tcPr>
          <w:p w14:paraId="768DF8D5" w14:textId="77777777" w:rsidR="009A0130" w:rsidRPr="00CB55A3" w:rsidRDefault="009A0130" w:rsidP="00722827">
            <w:pPr>
              <w:spacing w:after="160" w:line="259" w:lineRule="auto"/>
              <w:jc w:val="center"/>
              <w:rPr>
                <w:sz w:val="44"/>
                <w:szCs w:val="44"/>
              </w:rPr>
            </w:pPr>
            <w:r w:rsidRPr="00CB55A3">
              <w:rPr>
                <w:sz w:val="44"/>
                <w:szCs w:val="44"/>
                <w:lang w:val="en-US"/>
              </w:rPr>
              <w:t>Term 5</w:t>
            </w:r>
          </w:p>
        </w:tc>
        <w:tc>
          <w:tcPr>
            <w:tcW w:w="3061" w:type="dxa"/>
            <w:tcBorders>
              <w:top w:val="none" w:sz="0" w:space="0" w:color="auto"/>
              <w:left w:val="none" w:sz="0" w:space="0" w:color="auto"/>
              <w:bottom w:val="none" w:sz="0" w:space="0" w:color="auto"/>
              <w:right w:val="none" w:sz="0" w:space="0" w:color="auto"/>
            </w:tcBorders>
            <w:hideMark/>
          </w:tcPr>
          <w:p w14:paraId="3F8FFF16" w14:textId="77777777" w:rsidR="009A0130" w:rsidRPr="00CB55A3" w:rsidRDefault="009A0130" w:rsidP="00722827">
            <w:pPr>
              <w:spacing w:after="160" w:line="259" w:lineRule="auto"/>
              <w:jc w:val="center"/>
              <w:rPr>
                <w:sz w:val="44"/>
                <w:szCs w:val="44"/>
              </w:rPr>
            </w:pPr>
            <w:r w:rsidRPr="00CB55A3">
              <w:rPr>
                <w:sz w:val="44"/>
                <w:szCs w:val="44"/>
                <w:lang w:val="en-US"/>
              </w:rPr>
              <w:t>Term 6</w:t>
            </w:r>
          </w:p>
        </w:tc>
      </w:tr>
      <w:tr w:rsidR="009A0130" w:rsidRPr="00CB55A3" w14:paraId="49B98E42" w14:textId="77777777" w:rsidTr="00312608">
        <w:trPr>
          <w:cnfStyle w:val="000000100000" w:firstRow="0" w:lastRow="0" w:firstColumn="0" w:lastColumn="0" w:oddVBand="0" w:evenVBand="0" w:oddHBand="1" w:evenHBand="0" w:firstRowFirstColumn="0" w:firstRowLastColumn="0" w:lastRowFirstColumn="0" w:lastRowLastColumn="0"/>
          <w:trHeight w:val="1003"/>
        </w:trPr>
        <w:tc>
          <w:tcPr>
            <w:tcW w:w="2565" w:type="dxa"/>
          </w:tcPr>
          <w:p w14:paraId="4D396C4B" w14:textId="43F29860" w:rsidR="009A0130" w:rsidRPr="00CB55A3" w:rsidRDefault="00877E6F" w:rsidP="00722827">
            <w:pPr>
              <w:spacing w:after="160" w:line="259" w:lineRule="auto"/>
              <w:rPr>
                <w:b/>
                <w:bCs/>
                <w:sz w:val="28"/>
                <w:szCs w:val="28"/>
              </w:rPr>
            </w:pPr>
            <w:r>
              <w:rPr>
                <w:b/>
                <w:bCs/>
                <w:sz w:val="28"/>
                <w:szCs w:val="28"/>
              </w:rPr>
              <w:t>Health and wellbeing – mental health</w:t>
            </w:r>
          </w:p>
        </w:tc>
        <w:tc>
          <w:tcPr>
            <w:tcW w:w="2565" w:type="dxa"/>
          </w:tcPr>
          <w:p w14:paraId="2EFC533D" w14:textId="4BE375ED" w:rsidR="009A0130" w:rsidRPr="00CB55A3" w:rsidRDefault="00877E6F" w:rsidP="00722827">
            <w:pPr>
              <w:spacing w:after="160" w:line="259" w:lineRule="auto"/>
              <w:rPr>
                <w:b/>
                <w:bCs/>
                <w:sz w:val="28"/>
                <w:szCs w:val="28"/>
              </w:rPr>
            </w:pPr>
            <w:r>
              <w:rPr>
                <w:b/>
                <w:bCs/>
                <w:sz w:val="28"/>
                <w:szCs w:val="28"/>
              </w:rPr>
              <w:t xml:space="preserve">Healthy relationships – romantic relationships </w:t>
            </w:r>
          </w:p>
        </w:tc>
        <w:tc>
          <w:tcPr>
            <w:tcW w:w="2945" w:type="dxa"/>
          </w:tcPr>
          <w:p w14:paraId="21120468" w14:textId="7CEAB9EC" w:rsidR="009A0130" w:rsidRPr="00CB55A3" w:rsidRDefault="00E9136B" w:rsidP="00722827">
            <w:pPr>
              <w:spacing w:after="160" w:line="259" w:lineRule="auto"/>
              <w:rPr>
                <w:b/>
                <w:bCs/>
                <w:sz w:val="28"/>
                <w:szCs w:val="28"/>
              </w:rPr>
            </w:pPr>
            <w:r>
              <w:rPr>
                <w:b/>
                <w:bCs/>
                <w:sz w:val="28"/>
                <w:szCs w:val="28"/>
              </w:rPr>
              <w:t xml:space="preserve">Living in the wider world – financial decision making </w:t>
            </w:r>
          </w:p>
        </w:tc>
        <w:tc>
          <w:tcPr>
            <w:tcW w:w="2184" w:type="dxa"/>
          </w:tcPr>
          <w:p w14:paraId="4B3FDAEE" w14:textId="42B247E5" w:rsidR="009A0130" w:rsidRPr="00CB55A3" w:rsidRDefault="00E9136B" w:rsidP="00722827">
            <w:pPr>
              <w:spacing w:after="160" w:line="259" w:lineRule="auto"/>
              <w:rPr>
                <w:b/>
                <w:bCs/>
                <w:sz w:val="28"/>
                <w:szCs w:val="28"/>
              </w:rPr>
            </w:pPr>
            <w:r>
              <w:rPr>
                <w:b/>
                <w:bCs/>
                <w:sz w:val="28"/>
                <w:szCs w:val="28"/>
              </w:rPr>
              <w:t xml:space="preserve">Living in the wider world – citizenship </w:t>
            </w:r>
          </w:p>
        </w:tc>
        <w:tc>
          <w:tcPr>
            <w:tcW w:w="2069" w:type="dxa"/>
          </w:tcPr>
          <w:p w14:paraId="6BBEAB6F" w14:textId="011477DC" w:rsidR="009A0130" w:rsidRPr="00CB55A3" w:rsidRDefault="00E9136B" w:rsidP="00722827">
            <w:pPr>
              <w:spacing w:after="160" w:line="259" w:lineRule="auto"/>
              <w:rPr>
                <w:b/>
                <w:bCs/>
                <w:sz w:val="28"/>
                <w:szCs w:val="28"/>
              </w:rPr>
            </w:pPr>
            <w:r>
              <w:rPr>
                <w:b/>
                <w:bCs/>
                <w:sz w:val="28"/>
                <w:szCs w:val="28"/>
              </w:rPr>
              <w:t xml:space="preserve">Health and wellbeing – exploring influence </w:t>
            </w:r>
          </w:p>
        </w:tc>
        <w:tc>
          <w:tcPr>
            <w:tcW w:w="3061" w:type="dxa"/>
          </w:tcPr>
          <w:p w14:paraId="0CC3AC66" w14:textId="34A0FF36" w:rsidR="009A0130" w:rsidRPr="00CB55A3" w:rsidRDefault="0019510B" w:rsidP="00722827">
            <w:pPr>
              <w:spacing w:after="160" w:line="259" w:lineRule="auto"/>
              <w:rPr>
                <w:b/>
                <w:bCs/>
                <w:sz w:val="28"/>
                <w:szCs w:val="28"/>
              </w:rPr>
            </w:pPr>
            <w:r>
              <w:rPr>
                <w:b/>
                <w:bCs/>
                <w:sz w:val="28"/>
                <w:szCs w:val="28"/>
              </w:rPr>
              <w:t xml:space="preserve">Healthy relationships – extremism and radicalisation </w:t>
            </w:r>
          </w:p>
        </w:tc>
      </w:tr>
      <w:tr w:rsidR="00312608" w:rsidRPr="00CB55A3" w14:paraId="3CBBC3A2" w14:textId="77777777" w:rsidTr="00312608">
        <w:trPr>
          <w:trHeight w:val="1003"/>
        </w:trPr>
        <w:tc>
          <w:tcPr>
            <w:tcW w:w="2565" w:type="dxa"/>
          </w:tcPr>
          <w:p w14:paraId="6E936592" w14:textId="4BA002CC" w:rsidR="009A0130" w:rsidRPr="00CB55A3" w:rsidRDefault="00272C1E" w:rsidP="00722827">
            <w:pPr>
              <w:spacing w:after="160" w:line="259" w:lineRule="auto"/>
            </w:pPr>
            <w:r>
              <w:rPr>
                <w:rStyle w:val="normaltextrun"/>
                <w:rFonts w:ascii="Calibri" w:hAnsi="Calibri" w:cs="Calibri"/>
                <w:color w:val="000000"/>
                <w:shd w:val="clear" w:color="auto" w:fill="FFFFFF"/>
              </w:rPr>
              <w:t>This is an appropriate time to revisit mental health and wellbeing, as students enter the next key stage of their education. As pressure and workload increase, we work with students to focus on how their own wellbeing and how to treat others kindly. </w:t>
            </w:r>
          </w:p>
        </w:tc>
        <w:tc>
          <w:tcPr>
            <w:tcW w:w="2565" w:type="dxa"/>
          </w:tcPr>
          <w:p w14:paraId="27AC8BF3" w14:textId="58D21B88" w:rsidR="009A0130" w:rsidRPr="00CB55A3" w:rsidRDefault="009D3F96" w:rsidP="00722827">
            <w:pPr>
              <w:spacing w:after="160" w:line="259" w:lineRule="auto"/>
            </w:pPr>
            <w:r w:rsidRPr="009D3F96">
              <w:t>The interleaving of sex and relationships continues here, with a focus on the dangers and problems associated with pornography. This would not be an appropriate topic to cover with students at a younger age.</w:t>
            </w:r>
          </w:p>
        </w:tc>
        <w:tc>
          <w:tcPr>
            <w:tcW w:w="2945" w:type="dxa"/>
          </w:tcPr>
          <w:p w14:paraId="2181B123" w14:textId="07799011" w:rsidR="009A0130" w:rsidRPr="00CB55A3" w:rsidRDefault="00327F4A" w:rsidP="00722827">
            <w:pPr>
              <w:spacing w:after="160" w:line="259" w:lineRule="auto"/>
            </w:pPr>
            <w:r>
              <w:rPr>
                <w:rStyle w:val="normaltextrun"/>
                <w:rFonts w:ascii="Calibri" w:hAnsi="Calibri" w:cs="Calibri"/>
                <w:color w:val="000000"/>
                <w:shd w:val="clear" w:color="auto" w:fill="FFFFFF"/>
              </w:rPr>
              <w:t>This unit requires students to have a level of maturity and an understanding of the world outside of school, which they probably will not have until year 10. It is also an apt time to speak to students about finance as some students may start to have part time jobs and may start to have money of their own. It is also a time where some students start to think about future plans, such as college or university. Learning about finance may help them feel better about future choices.</w:t>
            </w:r>
          </w:p>
        </w:tc>
        <w:tc>
          <w:tcPr>
            <w:tcW w:w="2184" w:type="dxa"/>
          </w:tcPr>
          <w:p w14:paraId="0775469D" w14:textId="11219A21" w:rsidR="009A0130" w:rsidRPr="00CB55A3" w:rsidRDefault="00C76501" w:rsidP="00722827">
            <w:pPr>
              <w:spacing w:after="160" w:line="259" w:lineRule="auto"/>
            </w:pPr>
            <w:r>
              <w:rPr>
                <w:rStyle w:val="normaltextrun"/>
                <w:rFonts w:ascii="Calibri" w:hAnsi="Calibri" w:cs="Calibri"/>
                <w:color w:val="000000"/>
                <w:shd w:val="clear" w:color="auto" w:fill="FFFFFF"/>
              </w:rPr>
              <w:t>T</w:t>
            </w:r>
            <w:r w:rsidR="00757552">
              <w:rPr>
                <w:rStyle w:val="normaltextrun"/>
                <w:rFonts w:ascii="Calibri" w:hAnsi="Calibri" w:cs="Calibri"/>
                <w:color w:val="000000"/>
                <w:shd w:val="clear" w:color="auto" w:fill="FFFFFF"/>
              </w:rPr>
              <w:t>his unit allows students to delve deeper into the way the country works and their role within the democracy. </w:t>
            </w:r>
            <w:r w:rsidR="00757552">
              <w:rPr>
                <w:rStyle w:val="eop"/>
                <w:rFonts w:ascii="Calibri" w:hAnsi="Calibri" w:cs="Calibri"/>
                <w:color w:val="000000"/>
                <w:shd w:val="clear" w:color="auto" w:fill="FFFFFF"/>
              </w:rPr>
              <w:t> </w:t>
            </w:r>
          </w:p>
        </w:tc>
        <w:tc>
          <w:tcPr>
            <w:tcW w:w="2069" w:type="dxa"/>
          </w:tcPr>
          <w:p w14:paraId="39229FAC" w14:textId="7E4602B7" w:rsidR="009A0130" w:rsidRPr="00CB55A3" w:rsidRDefault="00B2424E" w:rsidP="00722827">
            <w:pPr>
              <w:spacing w:after="160" w:line="259" w:lineRule="auto"/>
            </w:pPr>
            <w:r w:rsidRPr="00B2424E">
              <w:t>Building on the topic which was covered in year 9, we continue to look at the negative impact of gang culture and the positive impact of healthy friendships.</w:t>
            </w:r>
          </w:p>
        </w:tc>
        <w:tc>
          <w:tcPr>
            <w:tcW w:w="3061" w:type="dxa"/>
          </w:tcPr>
          <w:p w14:paraId="00544A87" w14:textId="7B06AFD1" w:rsidR="009A0130" w:rsidRPr="00CB55A3" w:rsidRDefault="0019510B" w:rsidP="00722827">
            <w:pPr>
              <w:spacing w:after="160" w:line="259" w:lineRule="auto"/>
            </w:pPr>
            <w:r>
              <w:rPr>
                <w:rStyle w:val="normaltextrun"/>
                <w:rFonts w:ascii="Calibri" w:hAnsi="Calibri" w:cs="Calibri"/>
                <w:color w:val="000000"/>
                <w:shd w:val="clear" w:color="auto" w:fill="FFFFFF"/>
              </w:rPr>
              <w:t>By the end of year 10, we aim for all students to have a clear understanding of consent. This goes alongside our aim that students understand what is an appropriate and healthy romantic relationship and have an understanding of the support systems in place for anyone who does not feel safe within a relationship. Students develop their understanding of their own self-worth and use this to show their understanding of the negative impacts of peer influence and pressure. The main themes of the 2010 Equality Act are known by students and they are aware of their own responsibilities when it comes to following the law. </w:t>
            </w:r>
            <w:r>
              <w:rPr>
                <w:rStyle w:val="eop"/>
                <w:rFonts w:ascii="Calibri" w:hAnsi="Calibri" w:cs="Calibri"/>
                <w:color w:val="000000"/>
                <w:shd w:val="clear" w:color="auto" w:fill="FFFFFF"/>
              </w:rPr>
              <w:t> </w:t>
            </w:r>
          </w:p>
        </w:tc>
      </w:tr>
    </w:tbl>
    <w:p w14:paraId="6D215299" w14:textId="77777777" w:rsidR="009A0130" w:rsidRDefault="009A0130" w:rsidP="009A0130">
      <w:pPr>
        <w:tabs>
          <w:tab w:val="left" w:pos="9495"/>
        </w:tabs>
        <w:rPr>
          <w:sz w:val="44"/>
          <w:szCs w:val="44"/>
        </w:rPr>
      </w:pPr>
    </w:p>
    <w:p w14:paraId="1BE62AE8" w14:textId="5C75D02B" w:rsidR="000C19C1" w:rsidRDefault="00F25444" w:rsidP="000C19C1">
      <w:pPr>
        <w:jc w:val="center"/>
        <w:rPr>
          <w:sz w:val="44"/>
          <w:szCs w:val="44"/>
        </w:rPr>
      </w:pPr>
      <w:r w:rsidRPr="00CB55A3">
        <w:rPr>
          <w:b/>
          <w:bCs/>
          <w:sz w:val="44"/>
          <w:szCs w:val="44"/>
          <w:u w:val="single"/>
        </w:rPr>
        <w:lastRenderedPageBreak/>
        <w:t>Weekly Wellbeing – Y</w:t>
      </w:r>
      <w:r>
        <w:rPr>
          <w:b/>
          <w:bCs/>
          <w:sz w:val="44"/>
          <w:szCs w:val="44"/>
          <w:u w:val="single"/>
        </w:rPr>
        <w:t>11</w:t>
      </w:r>
      <w:r w:rsidRPr="00CB55A3">
        <w:rPr>
          <w:b/>
          <w:bCs/>
          <w:sz w:val="44"/>
          <w:szCs w:val="44"/>
          <w:u w:val="single"/>
        </w:rPr>
        <w:t xml:space="preserve"> Themes</w:t>
      </w:r>
    </w:p>
    <w:p w14:paraId="33FE7FCD" w14:textId="77777777" w:rsidR="000C19C1" w:rsidRDefault="000C19C1" w:rsidP="000C19C1">
      <w:pPr>
        <w:jc w:val="center"/>
        <w:rPr>
          <w:sz w:val="44"/>
          <w:szCs w:val="44"/>
        </w:rPr>
      </w:pPr>
    </w:p>
    <w:p w14:paraId="68CBD421" w14:textId="77777777" w:rsidR="000C19C1" w:rsidRDefault="000C19C1" w:rsidP="000C19C1">
      <w:pPr>
        <w:jc w:val="center"/>
        <w:rPr>
          <w:sz w:val="44"/>
          <w:szCs w:val="44"/>
        </w:rPr>
      </w:pPr>
    </w:p>
    <w:tbl>
      <w:tblPr>
        <w:tblStyle w:val="GridTable4-Accent4"/>
        <w:tblpPr w:leftFromText="180" w:rightFromText="180" w:vertAnchor="page" w:horzAnchor="margin" w:tblpY="1441"/>
        <w:tblW w:w="1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420" w:firstRow="1" w:lastRow="0" w:firstColumn="0" w:lastColumn="0" w:noHBand="0" w:noVBand="1"/>
      </w:tblPr>
      <w:tblGrid>
        <w:gridCol w:w="3029"/>
        <w:gridCol w:w="3029"/>
        <w:gridCol w:w="3028"/>
        <w:gridCol w:w="3029"/>
        <w:gridCol w:w="3405"/>
      </w:tblGrid>
      <w:tr w:rsidR="005D2B25" w:rsidRPr="00CB55A3" w14:paraId="7ECD96F3" w14:textId="77777777" w:rsidTr="005D2B25">
        <w:trPr>
          <w:cnfStyle w:val="100000000000" w:firstRow="1" w:lastRow="0" w:firstColumn="0" w:lastColumn="0" w:oddVBand="0" w:evenVBand="0" w:oddHBand="0" w:evenHBand="0" w:firstRowFirstColumn="0" w:firstRowLastColumn="0" w:lastRowFirstColumn="0" w:lastRowLastColumn="0"/>
          <w:trHeight w:val="574"/>
        </w:trPr>
        <w:tc>
          <w:tcPr>
            <w:tcW w:w="3029" w:type="dxa"/>
            <w:shd w:val="clear" w:color="auto" w:fill="7030A0"/>
            <w:hideMark/>
          </w:tcPr>
          <w:p w14:paraId="4147EA9D" w14:textId="77777777" w:rsidR="005D2B25" w:rsidRPr="00CB55A3" w:rsidRDefault="005D2B25" w:rsidP="00722827">
            <w:pPr>
              <w:jc w:val="center"/>
              <w:rPr>
                <w:sz w:val="44"/>
                <w:szCs w:val="44"/>
              </w:rPr>
            </w:pPr>
            <w:r w:rsidRPr="00CB55A3">
              <w:rPr>
                <w:sz w:val="44"/>
                <w:szCs w:val="44"/>
                <w:lang w:val="en-US"/>
              </w:rPr>
              <w:t>Term 1</w:t>
            </w:r>
          </w:p>
        </w:tc>
        <w:tc>
          <w:tcPr>
            <w:tcW w:w="3029" w:type="dxa"/>
            <w:shd w:val="clear" w:color="auto" w:fill="7030A0"/>
            <w:hideMark/>
          </w:tcPr>
          <w:p w14:paraId="7F006CFC" w14:textId="77777777" w:rsidR="005D2B25" w:rsidRPr="00CB55A3" w:rsidRDefault="005D2B25" w:rsidP="00722827">
            <w:pPr>
              <w:spacing w:after="160" w:line="259" w:lineRule="auto"/>
              <w:jc w:val="center"/>
              <w:rPr>
                <w:sz w:val="44"/>
                <w:szCs w:val="44"/>
              </w:rPr>
            </w:pPr>
            <w:r w:rsidRPr="00CB55A3">
              <w:rPr>
                <w:sz w:val="44"/>
                <w:szCs w:val="44"/>
                <w:lang w:val="en-US"/>
              </w:rPr>
              <w:t>Term 2</w:t>
            </w:r>
          </w:p>
        </w:tc>
        <w:tc>
          <w:tcPr>
            <w:tcW w:w="3028" w:type="dxa"/>
            <w:shd w:val="clear" w:color="auto" w:fill="7030A0"/>
            <w:hideMark/>
          </w:tcPr>
          <w:p w14:paraId="4E620B96" w14:textId="77777777" w:rsidR="005D2B25" w:rsidRPr="00CB55A3" w:rsidRDefault="005D2B25" w:rsidP="00722827">
            <w:pPr>
              <w:spacing w:after="160" w:line="259" w:lineRule="auto"/>
              <w:jc w:val="center"/>
              <w:rPr>
                <w:sz w:val="44"/>
                <w:szCs w:val="44"/>
              </w:rPr>
            </w:pPr>
            <w:r w:rsidRPr="00CB55A3">
              <w:rPr>
                <w:sz w:val="44"/>
                <w:szCs w:val="44"/>
                <w:lang w:val="en-US"/>
              </w:rPr>
              <w:t>Term 3</w:t>
            </w:r>
          </w:p>
        </w:tc>
        <w:tc>
          <w:tcPr>
            <w:tcW w:w="3029" w:type="dxa"/>
            <w:shd w:val="clear" w:color="auto" w:fill="7030A0"/>
            <w:hideMark/>
          </w:tcPr>
          <w:p w14:paraId="22636611" w14:textId="77777777" w:rsidR="005D2B25" w:rsidRPr="00CB55A3" w:rsidRDefault="005D2B25" w:rsidP="00722827">
            <w:pPr>
              <w:spacing w:after="160" w:line="259" w:lineRule="auto"/>
              <w:jc w:val="center"/>
              <w:rPr>
                <w:sz w:val="44"/>
                <w:szCs w:val="44"/>
              </w:rPr>
            </w:pPr>
            <w:r w:rsidRPr="00CB55A3">
              <w:rPr>
                <w:sz w:val="44"/>
                <w:szCs w:val="44"/>
                <w:lang w:val="en-US"/>
              </w:rPr>
              <w:t>Term 4</w:t>
            </w:r>
          </w:p>
        </w:tc>
        <w:tc>
          <w:tcPr>
            <w:tcW w:w="3405" w:type="dxa"/>
            <w:shd w:val="clear" w:color="auto" w:fill="7030A0"/>
            <w:hideMark/>
          </w:tcPr>
          <w:p w14:paraId="5A4F5538" w14:textId="77777777" w:rsidR="005D2B25" w:rsidRPr="00CB55A3" w:rsidRDefault="005D2B25" w:rsidP="00722827">
            <w:pPr>
              <w:spacing w:after="160" w:line="259" w:lineRule="auto"/>
              <w:jc w:val="center"/>
              <w:rPr>
                <w:sz w:val="44"/>
                <w:szCs w:val="44"/>
              </w:rPr>
            </w:pPr>
            <w:r w:rsidRPr="00CB55A3">
              <w:rPr>
                <w:sz w:val="44"/>
                <w:szCs w:val="44"/>
                <w:lang w:val="en-US"/>
              </w:rPr>
              <w:t>Term 5</w:t>
            </w:r>
          </w:p>
        </w:tc>
      </w:tr>
      <w:tr w:rsidR="005D2B25" w:rsidRPr="00CB55A3" w14:paraId="7BC3C02E" w14:textId="77777777" w:rsidTr="005D2B25">
        <w:trPr>
          <w:cnfStyle w:val="000000100000" w:firstRow="0" w:lastRow="0" w:firstColumn="0" w:lastColumn="0" w:oddVBand="0" w:evenVBand="0" w:oddHBand="1" w:evenHBand="0" w:firstRowFirstColumn="0" w:firstRowLastColumn="0" w:lastRowFirstColumn="0" w:lastRowLastColumn="0"/>
          <w:trHeight w:val="1034"/>
        </w:trPr>
        <w:tc>
          <w:tcPr>
            <w:tcW w:w="3029" w:type="dxa"/>
            <w:shd w:val="clear" w:color="auto" w:fill="E2CFF1"/>
          </w:tcPr>
          <w:p w14:paraId="3024DC58" w14:textId="5A4DDE24" w:rsidR="005D2B25" w:rsidRPr="00CB55A3" w:rsidRDefault="005D2B25" w:rsidP="00722827">
            <w:pPr>
              <w:spacing w:after="160" w:line="259" w:lineRule="auto"/>
              <w:rPr>
                <w:b/>
                <w:bCs/>
                <w:sz w:val="28"/>
                <w:szCs w:val="28"/>
              </w:rPr>
            </w:pPr>
            <w:r>
              <w:rPr>
                <w:b/>
                <w:bCs/>
                <w:sz w:val="28"/>
                <w:szCs w:val="28"/>
              </w:rPr>
              <w:t>Living in the wider world – next steps</w:t>
            </w:r>
          </w:p>
        </w:tc>
        <w:tc>
          <w:tcPr>
            <w:tcW w:w="3029" w:type="dxa"/>
            <w:shd w:val="clear" w:color="auto" w:fill="E2CFF1"/>
          </w:tcPr>
          <w:p w14:paraId="1125DD62" w14:textId="18203BF1" w:rsidR="005D2B25" w:rsidRPr="00CB55A3" w:rsidRDefault="005D2B25" w:rsidP="00722827">
            <w:pPr>
              <w:spacing w:after="160" w:line="259" w:lineRule="auto"/>
              <w:rPr>
                <w:b/>
                <w:bCs/>
                <w:sz w:val="28"/>
                <w:szCs w:val="28"/>
              </w:rPr>
            </w:pPr>
            <w:r>
              <w:rPr>
                <w:b/>
                <w:bCs/>
                <w:sz w:val="28"/>
                <w:szCs w:val="28"/>
              </w:rPr>
              <w:t>Health and wellbeing – building for the future</w:t>
            </w:r>
          </w:p>
        </w:tc>
        <w:tc>
          <w:tcPr>
            <w:tcW w:w="3028" w:type="dxa"/>
            <w:shd w:val="clear" w:color="auto" w:fill="E2CFF1"/>
          </w:tcPr>
          <w:p w14:paraId="74AAC207" w14:textId="6FB4C9F5" w:rsidR="005D2B25" w:rsidRPr="00CB55A3" w:rsidRDefault="005D2B25" w:rsidP="00722827">
            <w:pPr>
              <w:spacing w:after="160" w:line="259" w:lineRule="auto"/>
              <w:rPr>
                <w:b/>
                <w:bCs/>
                <w:sz w:val="28"/>
                <w:szCs w:val="28"/>
              </w:rPr>
            </w:pPr>
            <w:r>
              <w:rPr>
                <w:b/>
                <w:bCs/>
                <w:sz w:val="28"/>
                <w:szCs w:val="28"/>
              </w:rPr>
              <w:t xml:space="preserve">Healthy relationships – families </w:t>
            </w:r>
          </w:p>
        </w:tc>
        <w:tc>
          <w:tcPr>
            <w:tcW w:w="3029" w:type="dxa"/>
            <w:shd w:val="clear" w:color="auto" w:fill="E2CFF1"/>
          </w:tcPr>
          <w:p w14:paraId="55E2870B" w14:textId="7F525C8D" w:rsidR="005D2B25" w:rsidRPr="00CB55A3" w:rsidRDefault="005D2B25" w:rsidP="00722827">
            <w:pPr>
              <w:spacing w:after="160" w:line="259" w:lineRule="auto"/>
              <w:rPr>
                <w:b/>
                <w:bCs/>
                <w:sz w:val="28"/>
                <w:szCs w:val="28"/>
              </w:rPr>
            </w:pPr>
            <w:r>
              <w:rPr>
                <w:b/>
                <w:bCs/>
                <w:sz w:val="28"/>
                <w:szCs w:val="28"/>
              </w:rPr>
              <w:t xml:space="preserve">Healthy relationships – facing challenges </w:t>
            </w:r>
          </w:p>
        </w:tc>
        <w:tc>
          <w:tcPr>
            <w:tcW w:w="3405" w:type="dxa"/>
            <w:shd w:val="clear" w:color="auto" w:fill="E2CFF1"/>
          </w:tcPr>
          <w:p w14:paraId="6E639E9D" w14:textId="0E2C0CCE" w:rsidR="005D2B25" w:rsidRPr="00CB55A3" w:rsidRDefault="005D2B25" w:rsidP="00722827">
            <w:pPr>
              <w:spacing w:after="160" w:line="259" w:lineRule="auto"/>
              <w:rPr>
                <w:b/>
                <w:bCs/>
                <w:sz w:val="28"/>
                <w:szCs w:val="28"/>
              </w:rPr>
            </w:pPr>
            <w:r>
              <w:rPr>
                <w:b/>
                <w:bCs/>
                <w:sz w:val="28"/>
                <w:szCs w:val="28"/>
              </w:rPr>
              <w:t>Health and wellbeing – my health</w:t>
            </w:r>
          </w:p>
        </w:tc>
      </w:tr>
      <w:tr w:rsidR="005D2B25" w:rsidRPr="00CB55A3" w14:paraId="2F65D37A" w14:textId="77777777" w:rsidTr="005D2B25">
        <w:trPr>
          <w:trHeight w:val="1034"/>
        </w:trPr>
        <w:tc>
          <w:tcPr>
            <w:tcW w:w="3029" w:type="dxa"/>
            <w:shd w:val="clear" w:color="auto" w:fill="auto"/>
          </w:tcPr>
          <w:p w14:paraId="1FB09721" w14:textId="55C3131F" w:rsidR="00EC221F" w:rsidRPr="00CB55A3" w:rsidRDefault="00C76501" w:rsidP="005E2485">
            <w:pPr>
              <w:spacing w:after="160" w:line="259" w:lineRule="auto"/>
            </w:pPr>
            <w:r>
              <w:t xml:space="preserve">As students embark upon their final year with us we focus on what their </w:t>
            </w:r>
            <w:r w:rsidR="005E2485">
              <w:t>g</w:t>
            </w:r>
            <w:r w:rsidR="007E63F9">
              <w:t>oals and ambitions</w:t>
            </w:r>
            <w:r w:rsidR="005E2485">
              <w:t xml:space="preserve"> are for the future and what their post</w:t>
            </w:r>
            <w:r w:rsidR="007E63F9">
              <w:t xml:space="preserve"> 16 options</w:t>
            </w:r>
            <w:r w:rsidR="005E2485">
              <w:t xml:space="preserve"> look like. There is support around how to write a good CV and practice for interviews at a time when this is becoming a reality.</w:t>
            </w:r>
          </w:p>
        </w:tc>
        <w:tc>
          <w:tcPr>
            <w:tcW w:w="3029" w:type="dxa"/>
            <w:shd w:val="clear" w:color="auto" w:fill="auto"/>
          </w:tcPr>
          <w:p w14:paraId="54A28E8D" w14:textId="4E230A89" w:rsidR="00C76501" w:rsidRPr="00CB55A3" w:rsidRDefault="00D91408" w:rsidP="00AB23F4">
            <w:pPr>
              <w:spacing w:after="160" w:line="259" w:lineRule="auto"/>
            </w:pPr>
            <w:r>
              <w:t>As trial exams approach there is a key focus on developing good r</w:t>
            </w:r>
            <w:r w:rsidR="00EC221F">
              <w:t>evision techniques and strategies</w:t>
            </w:r>
            <w:r>
              <w:t xml:space="preserve"> as well as looking at time management </w:t>
            </w:r>
            <w:r w:rsidR="00AB23F4">
              <w:t>tips and how to cope with stress.</w:t>
            </w:r>
          </w:p>
        </w:tc>
        <w:tc>
          <w:tcPr>
            <w:tcW w:w="3028" w:type="dxa"/>
            <w:shd w:val="clear" w:color="auto" w:fill="auto"/>
          </w:tcPr>
          <w:p w14:paraId="7B438E96" w14:textId="33A7B634" w:rsidR="005D2B25" w:rsidRPr="00CB55A3" w:rsidRDefault="005D2B25" w:rsidP="00722827">
            <w:pPr>
              <w:spacing w:after="160" w:line="259" w:lineRule="auto"/>
            </w:pPr>
            <w:r w:rsidRPr="000C256E">
              <w:t>A number of components this term have been touched on previously in the Weekly Wellbeing curriculum. This is an apt time to revisit these key themes as students are becoming more adult and making more adult choices. Topics will be covered in more age appropriate detail at this point, with students given an opportunity to develop their own viewpoints and listen to the viewpoints of others.</w:t>
            </w:r>
          </w:p>
        </w:tc>
        <w:tc>
          <w:tcPr>
            <w:tcW w:w="3029" w:type="dxa"/>
            <w:shd w:val="clear" w:color="auto" w:fill="auto"/>
          </w:tcPr>
          <w:p w14:paraId="69C208C0" w14:textId="718DC4FC" w:rsidR="005D2B25" w:rsidRPr="00CB55A3" w:rsidRDefault="005D2B25" w:rsidP="00722827">
            <w:pPr>
              <w:spacing w:after="160" w:line="259" w:lineRule="auto"/>
            </w:pPr>
            <w:r w:rsidRPr="00876E1C">
              <w:t>Some of the content of these components are interleaved from earlier in the curriculum, but they will be delivered in a more in</w:t>
            </w:r>
            <w:r w:rsidR="00AB23F4">
              <w:t>-d</w:t>
            </w:r>
            <w:r w:rsidRPr="00876E1C">
              <w:t>epth / mature manner now that students are in year 11. This is also an appropriate time to revisit the topic of health relationships and exploitation, as this is a time when some students may start to become sexually active and need reminding of the importance of a healthy, consensual relationship.</w:t>
            </w:r>
          </w:p>
        </w:tc>
        <w:tc>
          <w:tcPr>
            <w:tcW w:w="3405" w:type="dxa"/>
            <w:shd w:val="clear" w:color="auto" w:fill="auto"/>
          </w:tcPr>
          <w:p w14:paraId="53D69C1E" w14:textId="2C8B5EC2" w:rsidR="005D2B25" w:rsidRPr="00CB55A3" w:rsidRDefault="005D2B25" w:rsidP="00722827">
            <w:pPr>
              <w:spacing w:after="160" w:line="259" w:lineRule="auto"/>
            </w:pPr>
            <w:r w:rsidRPr="00393C09">
              <w:t>By the time year 11 students leave us, we want them to be confident, self-aware young adults who are ready to safely enter the world. Students will have a good idea of what they want to do post-16 and some may have goals for further in the future. Students know how to respectfully interact with  a variety of people from various walks of life and of various lifestyles</w:t>
            </w:r>
          </w:p>
        </w:tc>
      </w:tr>
    </w:tbl>
    <w:p w14:paraId="08019F46" w14:textId="77777777" w:rsidR="000C19C1" w:rsidRPr="000C19C1" w:rsidRDefault="000C19C1" w:rsidP="000C19C1">
      <w:pPr>
        <w:jc w:val="center"/>
        <w:rPr>
          <w:sz w:val="44"/>
          <w:szCs w:val="44"/>
        </w:rPr>
      </w:pPr>
    </w:p>
    <w:sectPr w:rsidR="000C19C1" w:rsidRPr="000C19C1" w:rsidSect="00CB55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A3"/>
    <w:rsid w:val="00043FDE"/>
    <w:rsid w:val="000C19C1"/>
    <w:rsid w:val="000C256E"/>
    <w:rsid w:val="0011025E"/>
    <w:rsid w:val="0019510B"/>
    <w:rsid w:val="001F4FBE"/>
    <w:rsid w:val="00256373"/>
    <w:rsid w:val="00272C1E"/>
    <w:rsid w:val="00312608"/>
    <w:rsid w:val="00327F4A"/>
    <w:rsid w:val="00334589"/>
    <w:rsid w:val="00345454"/>
    <w:rsid w:val="00393C09"/>
    <w:rsid w:val="003D27B0"/>
    <w:rsid w:val="005C148F"/>
    <w:rsid w:val="005D2B25"/>
    <w:rsid w:val="005E2485"/>
    <w:rsid w:val="00640312"/>
    <w:rsid w:val="006E2E55"/>
    <w:rsid w:val="00757552"/>
    <w:rsid w:val="007B042D"/>
    <w:rsid w:val="007E63F9"/>
    <w:rsid w:val="00802E41"/>
    <w:rsid w:val="008121EC"/>
    <w:rsid w:val="00824C00"/>
    <w:rsid w:val="00876E1C"/>
    <w:rsid w:val="00877E6F"/>
    <w:rsid w:val="008E3AB0"/>
    <w:rsid w:val="00982553"/>
    <w:rsid w:val="009A0130"/>
    <w:rsid w:val="009C5C6F"/>
    <w:rsid w:val="009D3F96"/>
    <w:rsid w:val="00A70C09"/>
    <w:rsid w:val="00AB23F4"/>
    <w:rsid w:val="00B241BB"/>
    <w:rsid w:val="00B2424E"/>
    <w:rsid w:val="00B85972"/>
    <w:rsid w:val="00C37037"/>
    <w:rsid w:val="00C5343F"/>
    <w:rsid w:val="00C76501"/>
    <w:rsid w:val="00CB55A3"/>
    <w:rsid w:val="00D73557"/>
    <w:rsid w:val="00D749BE"/>
    <w:rsid w:val="00D91408"/>
    <w:rsid w:val="00DB0283"/>
    <w:rsid w:val="00DC43EC"/>
    <w:rsid w:val="00E06599"/>
    <w:rsid w:val="00E52EEB"/>
    <w:rsid w:val="00E61DB2"/>
    <w:rsid w:val="00E8695E"/>
    <w:rsid w:val="00E9136B"/>
    <w:rsid w:val="00EC221F"/>
    <w:rsid w:val="00F25444"/>
    <w:rsid w:val="00FB52B3"/>
    <w:rsid w:val="00FE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8789"/>
  <w15:chartTrackingRefBased/>
  <w15:docId w15:val="{914B1DF5-CE74-4F39-9937-5FB58C7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2">
    <w:name w:val="Grid Table 4 Accent 2"/>
    <w:basedOn w:val="TableNormal"/>
    <w:uiPriority w:val="49"/>
    <w:rsid w:val="009A013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9A01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9A013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ormaltextrun">
    <w:name w:val="normaltextrun"/>
    <w:basedOn w:val="DefaultParagraphFont"/>
    <w:rsid w:val="0019510B"/>
  </w:style>
  <w:style w:type="character" w:customStyle="1" w:styleId="eop">
    <w:name w:val="eop"/>
    <w:basedOn w:val="DefaultParagraphFont"/>
    <w:rsid w:val="0019510B"/>
  </w:style>
  <w:style w:type="paragraph" w:customStyle="1" w:styleId="paragraph">
    <w:name w:val="paragraph"/>
    <w:basedOn w:val="Normal"/>
    <w:rsid w:val="00B8597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06486">
      <w:bodyDiv w:val="1"/>
      <w:marLeft w:val="0"/>
      <w:marRight w:val="0"/>
      <w:marTop w:val="0"/>
      <w:marBottom w:val="0"/>
      <w:divBdr>
        <w:top w:val="none" w:sz="0" w:space="0" w:color="auto"/>
        <w:left w:val="none" w:sz="0" w:space="0" w:color="auto"/>
        <w:bottom w:val="none" w:sz="0" w:space="0" w:color="auto"/>
        <w:right w:val="none" w:sz="0" w:space="0" w:color="auto"/>
      </w:divBdr>
      <w:divsChild>
        <w:div w:id="210962692">
          <w:marLeft w:val="0"/>
          <w:marRight w:val="0"/>
          <w:marTop w:val="0"/>
          <w:marBottom w:val="0"/>
          <w:divBdr>
            <w:top w:val="none" w:sz="0" w:space="0" w:color="auto"/>
            <w:left w:val="none" w:sz="0" w:space="0" w:color="auto"/>
            <w:bottom w:val="none" w:sz="0" w:space="0" w:color="auto"/>
            <w:right w:val="none" w:sz="0" w:space="0" w:color="auto"/>
          </w:divBdr>
        </w:div>
        <w:div w:id="1526286703">
          <w:marLeft w:val="0"/>
          <w:marRight w:val="0"/>
          <w:marTop w:val="0"/>
          <w:marBottom w:val="0"/>
          <w:divBdr>
            <w:top w:val="none" w:sz="0" w:space="0" w:color="auto"/>
            <w:left w:val="none" w:sz="0" w:space="0" w:color="auto"/>
            <w:bottom w:val="none" w:sz="0" w:space="0" w:color="auto"/>
            <w:right w:val="none" w:sz="0" w:space="0" w:color="auto"/>
          </w:divBdr>
        </w:div>
      </w:divsChild>
    </w:div>
    <w:div w:id="17054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8984</Characters>
  <Application>Microsoft Office Word</Application>
  <DocSecurity>0</DocSecurity>
  <Lines>74</Lines>
  <Paragraphs>21</Paragraphs>
  <ScaleCrop>false</ScaleCrop>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Goddard-Wood</dc:creator>
  <cp:keywords/>
  <dc:description/>
  <cp:lastModifiedBy>Stephanie Goddard-Wood</cp:lastModifiedBy>
  <cp:revision>54</cp:revision>
  <dcterms:created xsi:type="dcterms:W3CDTF">2023-10-24T08:18:00Z</dcterms:created>
  <dcterms:modified xsi:type="dcterms:W3CDTF">2023-11-15T21:19:00Z</dcterms:modified>
</cp:coreProperties>
</file>